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4908" w14:textId="2B2D3370" w:rsidR="00F20F94" w:rsidRPr="002C53AF" w:rsidRDefault="00F20F94" w:rsidP="00F20F94">
      <w:pPr>
        <w:widowControl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C53AF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附件</w:t>
      </w:r>
      <w:r w:rsidR="00367CE7">
        <w:rPr>
          <w:rFonts w:ascii="Arial" w:eastAsia="新細明體" w:hAnsi="Arial" w:cs="Arial" w:hint="eastAsia"/>
          <w:b/>
          <w:bCs/>
          <w:color w:val="000000"/>
          <w:kern w:val="0"/>
          <w:sz w:val="28"/>
          <w:szCs w:val="28"/>
        </w:rPr>
        <w:t>一、礦業修法</w:t>
      </w:r>
      <w:r w:rsidRPr="002C53AF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改革重點</w:t>
      </w:r>
      <w:r w:rsidR="00367CE7">
        <w:rPr>
          <w:rFonts w:ascii="Arial" w:eastAsia="新細明體" w:hAnsi="Arial" w:cs="Arial" w:hint="eastAsia"/>
          <w:b/>
          <w:bCs/>
          <w:color w:val="000000"/>
          <w:kern w:val="0"/>
          <w:sz w:val="28"/>
          <w:szCs w:val="28"/>
        </w:rPr>
        <w:t>：</w:t>
      </w:r>
      <w:r w:rsidRPr="002C53AF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修法前後比較、未竟之業</w:t>
      </w:r>
    </w:p>
    <w:tbl>
      <w:tblPr>
        <w:tblW w:w="15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4082"/>
        <w:gridCol w:w="6096"/>
        <w:gridCol w:w="4110"/>
      </w:tblGrid>
      <w:tr w:rsidR="00C02811" w:rsidRPr="002C53AF" w14:paraId="19EB040E" w14:textId="77777777" w:rsidTr="00C02811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B8EF9" w14:textId="77777777" w:rsidR="00F20F94" w:rsidRPr="002C53AF" w:rsidRDefault="00F20F94" w:rsidP="004D42E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改革重點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8C2D8" w14:textId="77777777" w:rsidR="00F20F94" w:rsidRPr="002C53AF" w:rsidRDefault="00F20F94" w:rsidP="004D42E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修法前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7B0E2" w14:textId="77777777" w:rsidR="00F20F94" w:rsidRPr="002C53AF" w:rsidRDefault="00F20F94" w:rsidP="004D42E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修法後（優點）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9B4D5" w14:textId="77777777" w:rsidR="00F20F94" w:rsidRPr="002C53AF" w:rsidRDefault="00F20F94" w:rsidP="004D42E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未竟之業</w:t>
            </w:r>
            <w:proofErr w:type="gramStart"/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（</w:t>
            </w:r>
            <w:proofErr w:type="gramEnd"/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缺點：待追蹤或不足之處</w:t>
            </w:r>
            <w:proofErr w:type="gramStart"/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）</w:t>
            </w:r>
            <w:proofErr w:type="gramEnd"/>
          </w:p>
        </w:tc>
      </w:tr>
      <w:tr w:rsidR="00F20F94" w:rsidRPr="002C53AF" w14:paraId="0B99E315" w14:textId="77777777" w:rsidTr="00C028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5B29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一、修正礦業用地定義</w:t>
            </w:r>
          </w:p>
          <w:p w14:paraId="7D411812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§4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5651F" w14:textId="77777777" w:rsidR="00F20F94" w:rsidRPr="002C53AF" w:rsidRDefault="00F20F94" w:rsidP="00F20F94">
            <w:pPr>
              <w:widowControl/>
              <w:numPr>
                <w:ilvl w:val="0"/>
                <w:numId w:val="1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礦業用地之定義：指經核定可供礦業實際使用之</w:t>
            </w: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  <w:u w:val="single"/>
              </w:rPr>
              <w:t>地面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。</w:t>
            </w:r>
          </w:p>
          <w:p w14:paraId="12453666" w14:textId="77777777" w:rsidR="00F20F94" w:rsidRPr="002C53AF" w:rsidRDefault="00F20F94" w:rsidP="004D42EF">
            <w:pPr>
              <w:widowControl/>
              <w:ind w:left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僅有面積的概念，有可以無限往下挖的意涵。</w:t>
            </w:r>
          </w:p>
          <w:p w14:paraId="04449C42" w14:textId="77777777" w:rsidR="00F20F94" w:rsidRPr="002C53AF" w:rsidRDefault="00F20F94" w:rsidP="00F20F94">
            <w:pPr>
              <w:widowControl/>
              <w:numPr>
                <w:ilvl w:val="0"/>
                <w:numId w:val="2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忽略地下坑道式開採的特殊性，僅需核定坑口為礦業用地，地下坑道範圍全部不用申請。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B421A" w14:textId="77777777" w:rsidR="00F20F94" w:rsidRPr="002C53AF" w:rsidRDefault="00F20F94" w:rsidP="00F20F94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礦業用地之定義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修改為指經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核定可供礦業實際使用之</w:t>
            </w: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  <w:u w:val="single"/>
              </w:rPr>
              <w:t>土地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：土地指垂直投影至地面之範圍。</w:t>
            </w:r>
          </w:p>
          <w:p w14:paraId="3193CD24" w14:textId="77777777" w:rsidR="00F20F94" w:rsidRPr="002C53AF" w:rsidRDefault="00F20F94" w:rsidP="00F20F94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明訂礦業用地的概念</w:t>
            </w: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  <w:u w:val="single"/>
              </w:rPr>
              <w:t>從面積變為體積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，並有</w:t>
            </w:r>
            <w:r w:rsidRPr="002C53A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  <w:u w:val="single"/>
              </w:rPr>
              <w:t>可開採總量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的上限。</w:t>
            </w:r>
          </w:p>
          <w:p w14:paraId="0E31B4EC" w14:textId="77777777" w:rsidR="00F20F94" w:rsidRPr="002C53AF" w:rsidRDefault="00F20F94" w:rsidP="00F20F94">
            <w:pPr>
              <w:widowControl/>
              <w:numPr>
                <w:ilvl w:val="0"/>
                <w:numId w:val="3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針對地下礦場（坑道開採），訂定申請核定礦業用地之過渡條款：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一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年內就所規劃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新掘進坑道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之土地範圍依規定申請核定礦業用地。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68938" w14:textId="77777777" w:rsidR="00F20F94" w:rsidRPr="002C53AF" w:rsidRDefault="00F20F94" w:rsidP="00F20F94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實務上經濟部如何核定「可開採總量」，需持續追蹤。</w:t>
            </w:r>
          </w:p>
          <w:p w14:paraId="43FAE7C2" w14:textId="77777777" w:rsidR="00F20F94" w:rsidRPr="002C53AF" w:rsidRDefault="00F20F94" w:rsidP="00F20F94">
            <w:pPr>
              <w:widowControl/>
              <w:numPr>
                <w:ilvl w:val="0"/>
                <w:numId w:val="4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個坑道式開採的礦場，需持續追蹤。</w:t>
            </w:r>
          </w:p>
        </w:tc>
      </w:tr>
      <w:tr w:rsidR="00F20F94" w:rsidRPr="002C53AF" w14:paraId="6FB41405" w14:textId="77777777" w:rsidTr="00C028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5BCC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二、刪除霸王條款</w:t>
            </w:r>
          </w:p>
          <w:p w14:paraId="6133594E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§34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35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5E805" w14:textId="77777777" w:rsidR="00F20F94" w:rsidRPr="002C53AF" w:rsidRDefault="00F20F94" w:rsidP="00F20F94">
            <w:pPr>
              <w:widowControl/>
              <w:numPr>
                <w:ilvl w:val="0"/>
                <w:numId w:val="5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土地利害關係人只能接受被採礦，沒有說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不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的權利，有礦業權者提存地價、租金獲補償後，得先行使用土地之規定</w:t>
            </w:r>
          </w:p>
          <w:p w14:paraId="39D2C3C2" w14:textId="77777777" w:rsidR="00F20F94" w:rsidRPr="002C53AF" w:rsidRDefault="00F20F94" w:rsidP="00F20F94">
            <w:pPr>
              <w:widowControl/>
              <w:numPr>
                <w:ilvl w:val="0"/>
                <w:numId w:val="5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礦業權展限原則核准、例外才能駁回。</w:t>
            </w:r>
          </w:p>
          <w:p w14:paraId="65ACCF4D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9B768" w14:textId="77777777" w:rsidR="00F20F94" w:rsidRPr="002C53AF" w:rsidRDefault="00F20F94" w:rsidP="00F20F94">
            <w:pPr>
              <w:widowControl/>
              <w:numPr>
                <w:ilvl w:val="0"/>
                <w:numId w:val="6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採礦前要取得土地利害關係人同意，否則不得採礦。</w:t>
            </w:r>
          </w:p>
          <w:p w14:paraId="711DE2FA" w14:textId="77777777" w:rsidR="00F20F94" w:rsidRPr="002C53AF" w:rsidRDefault="00F20F94" w:rsidP="00F20F94">
            <w:pPr>
              <w:widowControl/>
              <w:numPr>
                <w:ilvl w:val="0"/>
                <w:numId w:val="6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拿掉原則核准文字，並正面表列出應駁回展限申請的樣態，刪除主管機關依法駁回需補償業者之規定。</w:t>
            </w:r>
          </w:p>
          <w:p w14:paraId="229974A0" w14:textId="77777777" w:rsidR="00F20F94" w:rsidRPr="002C53AF" w:rsidRDefault="00F20F94" w:rsidP="00F20F94">
            <w:pPr>
              <w:widowControl/>
              <w:numPr>
                <w:ilvl w:val="0"/>
                <w:numId w:val="6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新增礦業權展限時，需取得地主、建築物所有人及使用權人、公有土地管理機關及他項權利人同意。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BF5DD" w14:textId="77777777" w:rsidR="00F20F94" w:rsidRPr="002C53AF" w:rsidRDefault="00F20F94" w:rsidP="00F20F94">
            <w:pPr>
              <w:widowControl/>
              <w:numPr>
                <w:ilvl w:val="0"/>
                <w:numId w:val="7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礦業權展限准駁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期間，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仍可繼續開採。但因為把關機制都放在礦業用地核定階段，實質上已弱化礦業權的功能，需持續觀察是否有不合理的情事再發生。</w:t>
            </w:r>
          </w:p>
        </w:tc>
      </w:tr>
      <w:tr w:rsidR="00F20F94" w:rsidRPr="002C53AF" w14:paraId="773A545E" w14:textId="77777777" w:rsidTr="00C028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0404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三、新增環境保護、風險評估與監督機制</w:t>
            </w:r>
          </w:p>
          <w:p w14:paraId="0CB40591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§17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65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645AB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環評法通過之前就存在的礦場超過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100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個，持續開採都不需經過環評。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A197" w14:textId="77777777" w:rsidR="00F20F94" w:rsidRPr="002C53AF" w:rsidRDefault="00F20F94" w:rsidP="00F20F94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未曾辦理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環評且面積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大於兩公頃之礦場，依其產量、區位分級，要依《環評法》第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條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補辦環評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，或依《環評法》第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條提出環境影響之調查、分析並提出因應對策。</w:t>
            </w:r>
          </w:p>
          <w:p w14:paraId="7DA2EA0E" w14:textId="77777777" w:rsidR="00F20F94" w:rsidRPr="002C53AF" w:rsidRDefault="00F20F94" w:rsidP="00F20F94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若擴大開採就須重新環評。</w:t>
            </w:r>
          </w:p>
          <w:p w14:paraId="6DFA10DF" w14:textId="77777777" w:rsidR="00F20F94" w:rsidRPr="002C53AF" w:rsidRDefault="00F20F94" w:rsidP="00F20F94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已通過環評之礦場（含補辦），經濟部會同環保署與相關機關進行聯合監督查核工作。</w:t>
            </w:r>
          </w:p>
          <w:p w14:paraId="2D662988" w14:textId="77777777" w:rsidR="00F20F94" w:rsidRPr="002C53AF" w:rsidRDefault="00F20F94" w:rsidP="00F20F94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不予核准礦業權之區位：新增環境敏感地區內，依其劃設法令，應徵得該管機關同意而未同意；新增國家公園內禁止探採礦。</w:t>
            </w:r>
          </w:p>
          <w:p w14:paraId="43541D40" w14:textId="77777777" w:rsidR="00F20F94" w:rsidRPr="002C53AF" w:rsidRDefault="00F20F94" w:rsidP="00F20F94">
            <w:pPr>
              <w:widowControl/>
              <w:numPr>
                <w:ilvl w:val="0"/>
                <w:numId w:val="8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新增申請礦業權時，需提出礦場環境維護計畫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2E7BC" w14:textId="77777777" w:rsidR="00F20F94" w:rsidRPr="002C53AF" w:rsidRDefault="00F20F94" w:rsidP="00F20F94">
            <w:pPr>
              <w:widowControl/>
              <w:numPr>
                <w:ilvl w:val="0"/>
                <w:numId w:val="9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需持續追蹤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補辦環評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proofErr w:type="gramStart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環調的</w:t>
            </w:r>
            <w:proofErr w:type="gramEnd"/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辦理情形。</w:t>
            </w:r>
          </w:p>
          <w:p w14:paraId="5DB0D5B6" w14:textId="77777777" w:rsidR="00F20F94" w:rsidRPr="002C53AF" w:rsidRDefault="00F20F94" w:rsidP="00F20F94">
            <w:pPr>
              <w:widowControl/>
              <w:numPr>
                <w:ilvl w:val="0"/>
                <w:numId w:val="9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需持續追蹤聯合監督查核工作的辦理情形。</w:t>
            </w:r>
          </w:p>
          <w:p w14:paraId="64038CB8" w14:textId="77777777" w:rsidR="00F20F94" w:rsidRPr="002C53AF" w:rsidRDefault="00F20F94" w:rsidP="00F20F94">
            <w:pPr>
              <w:widowControl/>
              <w:numPr>
                <w:ilvl w:val="0"/>
                <w:numId w:val="9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礦場環境維護計畫的內容由子法另訂之，需追蹤。</w:t>
            </w:r>
          </w:p>
        </w:tc>
      </w:tr>
      <w:tr w:rsidR="00F20F94" w:rsidRPr="002C53AF" w14:paraId="0A966DE1" w14:textId="77777777" w:rsidTr="00C028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39F13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四、保障原住民部落之權益</w:t>
            </w:r>
          </w:p>
          <w:p w14:paraId="52BA585E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§8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48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CFE64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企業與政府毫無相關概念，甚至認為礦業開發與原住民族無關。直到</w:t>
            </w:r>
            <w:hyperlink r:id="rId7" w:history="1">
              <w:r w:rsidRPr="002C53AF">
                <w:rPr>
                  <w:rFonts w:ascii="Arial" w:eastAsia="新細明體" w:hAnsi="Arial" w:cs="Arial"/>
                  <w:color w:val="1155CC"/>
                  <w:kern w:val="0"/>
                  <w:sz w:val="22"/>
                  <w:u w:val="single"/>
                </w:rPr>
                <w:t>行政法院判決確定</w:t>
              </w:r>
            </w:hyperlink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後，才意識到需要重視。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81FEA" w14:textId="77777777" w:rsidR="00F20F94" w:rsidRPr="002C53AF" w:rsidRDefault="00F20F94" w:rsidP="00F20F94">
            <w:pPr>
              <w:widowControl/>
              <w:numPr>
                <w:ilvl w:val="0"/>
                <w:numId w:val="10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明定原住民於原住民族地區及原民會公告之海域，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非營利自用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採取礦物，無需取得礦業權。</w:t>
            </w:r>
          </w:p>
          <w:p w14:paraId="068D28D5" w14:textId="77777777" w:rsidR="00F20F94" w:rsidRPr="002C53AF" w:rsidRDefault="00F20F94" w:rsidP="00F20F94">
            <w:pPr>
              <w:widowControl/>
              <w:numPr>
                <w:ilvl w:val="0"/>
                <w:numId w:val="10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落實原民諮商同意權：新增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申請礦業用地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時需依《原基法》第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21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條規定辦理原民諮商同意。已核定礦業用地，未辦理者應於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一年內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辦理。</w:t>
            </w:r>
          </w:p>
          <w:p w14:paraId="7064182B" w14:textId="77777777" w:rsidR="00F20F94" w:rsidRPr="002C53AF" w:rsidRDefault="00F20F94" w:rsidP="00F20F94">
            <w:pPr>
              <w:widowControl/>
              <w:numPr>
                <w:ilvl w:val="0"/>
                <w:numId w:val="10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礦務局會同原民會制定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關係部落居民對礦業權者辦理「原住民族或部落諮商同意或參與程序」之注意事項指引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供礦業權者、部落參考。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00A94" w14:textId="77777777" w:rsidR="00F20F94" w:rsidRPr="002C53AF" w:rsidRDefault="00F20F94" w:rsidP="00F20F94">
            <w:pPr>
              <w:widowControl/>
              <w:numPr>
                <w:ilvl w:val="0"/>
                <w:numId w:val="11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「原住民族或部落諮商同意或參與程序」之注意事項指引」目前僅看到大綱，需追蹤。</w:t>
            </w:r>
          </w:p>
          <w:p w14:paraId="5BA2AB67" w14:textId="77777777" w:rsidR="00F20F94" w:rsidRPr="002C53AF" w:rsidRDefault="00F20F94" w:rsidP="00F20F94">
            <w:pPr>
              <w:widowControl/>
              <w:numPr>
                <w:ilvl w:val="0"/>
                <w:numId w:val="11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「</w:t>
            </w:r>
            <w:hyperlink r:id="rId8" w:history="1">
              <w:r w:rsidRPr="002C53AF">
                <w:rPr>
                  <w:rFonts w:ascii="Arial" w:eastAsia="新細明體" w:hAnsi="Arial" w:cs="Arial"/>
                  <w:color w:val="1155CC"/>
                  <w:kern w:val="0"/>
                  <w:sz w:val="22"/>
                  <w:u w:val="single"/>
                </w:rPr>
                <w:t>諮商取得原住民族部落同意參與辦法</w:t>
              </w:r>
            </w:hyperlink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」的修改需持續努力。</w:t>
            </w:r>
          </w:p>
        </w:tc>
      </w:tr>
      <w:tr w:rsidR="00F20F94" w:rsidRPr="002C53AF" w14:paraId="07315490" w14:textId="77777777" w:rsidTr="00C028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213F3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五、新增礦場關閉計畫與經濟效益評估</w:t>
            </w:r>
          </w:p>
          <w:p w14:paraId="12C4287F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§47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35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51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55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56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2541A" w14:textId="77777777" w:rsidR="00F20F94" w:rsidRPr="002C53AF" w:rsidRDefault="00F20F94" w:rsidP="00F20F94">
            <w:pPr>
              <w:widowControl/>
              <w:numPr>
                <w:ilvl w:val="0"/>
                <w:numId w:val="12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無經濟效益評估</w:t>
            </w:r>
          </w:p>
          <w:p w14:paraId="13711342" w14:textId="77777777" w:rsidR="00F20F94" w:rsidRPr="002C53AF" w:rsidRDefault="00F20F94" w:rsidP="00F20F94">
            <w:pPr>
              <w:widowControl/>
              <w:numPr>
                <w:ilvl w:val="0"/>
                <w:numId w:val="12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僅有依水保計畫整復的規定。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C8C16" w14:textId="77777777" w:rsidR="00F20F94" w:rsidRPr="002C53AF" w:rsidRDefault="00F20F94" w:rsidP="00F20F94">
            <w:pPr>
              <w:widowControl/>
              <w:numPr>
                <w:ilvl w:val="0"/>
                <w:numId w:val="13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申請礦業用地與礦業權展限時必須提出礦場關閉計畫。</w:t>
            </w:r>
          </w:p>
          <w:p w14:paraId="3A972247" w14:textId="77777777" w:rsidR="00F20F94" w:rsidRPr="002C53AF" w:rsidRDefault="00F20F94" w:rsidP="00F20F94">
            <w:pPr>
              <w:widowControl/>
              <w:numPr>
                <w:ilvl w:val="0"/>
                <w:numId w:val="13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礦業權申請、展限時業者都必須提出經濟效益評估，經濟部要配合整體產業政策評估報告檢視，若無經濟效益認定不應開發，經濟部依規定駁回申請。</w:t>
            </w:r>
          </w:p>
          <w:p w14:paraId="530AC20D" w14:textId="77777777" w:rsidR="00F20F94" w:rsidRPr="002C53AF" w:rsidRDefault="00F20F94" w:rsidP="00F20F94">
            <w:pPr>
              <w:widowControl/>
              <w:numPr>
                <w:ilvl w:val="0"/>
                <w:numId w:val="13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新增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礦業用地使用完畢之環境整復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與處罰：礦業權廢止後，礦業權者有履行環境整付之義務，若不履行義務則需處罰。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358C5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經濟效益評估與礦場關閉計畫的內容，留待子法另訂之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  <w:u w:val="single"/>
              </w:rPr>
              <w:t>，需追蹤。</w:t>
            </w:r>
          </w:p>
        </w:tc>
      </w:tr>
      <w:tr w:rsidR="00F20F94" w:rsidRPr="002C53AF" w14:paraId="50E82FC0" w14:textId="77777777" w:rsidTr="00C028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5C75F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六、新增資訊公開與公民參與</w:t>
            </w:r>
          </w:p>
          <w:p w14:paraId="493E3DAF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§31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33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34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47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、</w:t>
            </w: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148EC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無資訊公開與民眾參與程序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8A95" w14:textId="77777777" w:rsidR="00F20F94" w:rsidRPr="002C53AF" w:rsidRDefault="00F20F94" w:rsidP="00F20F94">
            <w:pPr>
              <w:widowControl/>
              <w:numPr>
                <w:ilvl w:val="0"/>
                <w:numId w:val="14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申請礦業權、礦業用地、礦業權展限、礦業保留區之指定、變更與解除時，應辦理公開展覽並舉行說明會。</w:t>
            </w:r>
          </w:p>
          <w:p w14:paraId="53BC51EA" w14:textId="77777777" w:rsidR="00F20F94" w:rsidRPr="002C53AF" w:rsidRDefault="00F20F94" w:rsidP="00F20F94">
            <w:pPr>
              <w:widowControl/>
              <w:numPr>
                <w:ilvl w:val="0"/>
                <w:numId w:val="14"/>
              </w:numPr>
              <w:textAlignment w:val="baseline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上述准駁之結果、相關書件（年度施工計畫書圖、礦場關閉計畫書、核定礦業用地之面積、可開採總量、最終高程、與環保署聯合檢查機制之成果等資訊）應公開於指定網站。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6B66" w14:textId="77777777" w:rsidR="00F20F94" w:rsidRPr="002C53AF" w:rsidRDefault="00F20F94" w:rsidP="004D42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需追蹤說明會、指定網站的辦理情形</w:t>
            </w:r>
          </w:p>
        </w:tc>
      </w:tr>
      <w:tr w:rsidR="00F20F94" w:rsidRPr="002C53AF" w14:paraId="28971FA2" w14:textId="77777777" w:rsidTr="00C02811">
        <w:trPr>
          <w:trHeight w:val="420"/>
        </w:trPr>
        <w:tc>
          <w:tcPr>
            <w:tcW w:w="15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CB0CA" w14:textId="77777777" w:rsidR="00F20F94" w:rsidRPr="002C53AF" w:rsidRDefault="00F20F94" w:rsidP="004D42EF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53AF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地球公民基金會製表</w:t>
            </w:r>
          </w:p>
        </w:tc>
      </w:tr>
    </w:tbl>
    <w:p w14:paraId="48A55335" w14:textId="77777777" w:rsidR="00F20F94" w:rsidRDefault="00F20F94" w:rsidP="00F20F94"/>
    <w:p w14:paraId="5A478D2E" w14:textId="77777777" w:rsidR="00E7263F" w:rsidRDefault="00E7263F"/>
    <w:sectPr w:rsidR="00E7263F" w:rsidSect="00C02811">
      <w:pgSz w:w="16838" w:h="11906" w:orient="landscape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004B" w14:textId="77777777" w:rsidR="007B0FAC" w:rsidRDefault="007B0FAC" w:rsidP="00361861">
      <w:r>
        <w:separator/>
      </w:r>
    </w:p>
  </w:endnote>
  <w:endnote w:type="continuationSeparator" w:id="0">
    <w:p w14:paraId="7DEDA0F5" w14:textId="77777777" w:rsidR="007B0FAC" w:rsidRDefault="007B0FAC" w:rsidP="0036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C7EA" w14:textId="77777777" w:rsidR="007B0FAC" w:rsidRDefault="007B0FAC" w:rsidP="00361861">
      <w:r>
        <w:separator/>
      </w:r>
    </w:p>
  </w:footnote>
  <w:footnote w:type="continuationSeparator" w:id="0">
    <w:p w14:paraId="1C8CF2FC" w14:textId="77777777" w:rsidR="007B0FAC" w:rsidRDefault="007B0FAC" w:rsidP="0036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BF9"/>
    <w:multiLevelType w:val="multilevel"/>
    <w:tmpl w:val="B11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09E7"/>
    <w:multiLevelType w:val="multilevel"/>
    <w:tmpl w:val="3A5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82A62"/>
    <w:multiLevelType w:val="multilevel"/>
    <w:tmpl w:val="478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607BC"/>
    <w:multiLevelType w:val="multilevel"/>
    <w:tmpl w:val="DE9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D11B0"/>
    <w:multiLevelType w:val="multilevel"/>
    <w:tmpl w:val="67C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842AF"/>
    <w:multiLevelType w:val="multilevel"/>
    <w:tmpl w:val="032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C4002"/>
    <w:multiLevelType w:val="multilevel"/>
    <w:tmpl w:val="B6A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7644F"/>
    <w:multiLevelType w:val="multilevel"/>
    <w:tmpl w:val="E02A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C696B"/>
    <w:multiLevelType w:val="multilevel"/>
    <w:tmpl w:val="D71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15123"/>
    <w:multiLevelType w:val="multilevel"/>
    <w:tmpl w:val="08B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72D6F"/>
    <w:multiLevelType w:val="multilevel"/>
    <w:tmpl w:val="93E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F1B00"/>
    <w:multiLevelType w:val="multilevel"/>
    <w:tmpl w:val="1FC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77999"/>
    <w:multiLevelType w:val="multilevel"/>
    <w:tmpl w:val="6A0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B7D07"/>
    <w:multiLevelType w:val="multilevel"/>
    <w:tmpl w:val="9E0E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65685">
    <w:abstractNumId w:val="12"/>
  </w:num>
  <w:num w:numId="2" w16cid:durableId="412626653">
    <w:abstractNumId w:val="13"/>
  </w:num>
  <w:num w:numId="3" w16cid:durableId="253441561">
    <w:abstractNumId w:val="3"/>
  </w:num>
  <w:num w:numId="4" w16cid:durableId="155996638">
    <w:abstractNumId w:val="6"/>
  </w:num>
  <w:num w:numId="5" w16cid:durableId="2139565585">
    <w:abstractNumId w:val="9"/>
  </w:num>
  <w:num w:numId="6" w16cid:durableId="2016762631">
    <w:abstractNumId w:val="8"/>
  </w:num>
  <w:num w:numId="7" w16cid:durableId="1849783706">
    <w:abstractNumId w:val="5"/>
  </w:num>
  <w:num w:numId="8" w16cid:durableId="1869443141">
    <w:abstractNumId w:val="0"/>
  </w:num>
  <w:num w:numId="9" w16cid:durableId="1147405808">
    <w:abstractNumId w:val="10"/>
  </w:num>
  <w:num w:numId="10" w16cid:durableId="1726415490">
    <w:abstractNumId w:val="7"/>
  </w:num>
  <w:num w:numId="11" w16cid:durableId="1395393712">
    <w:abstractNumId w:val="4"/>
  </w:num>
  <w:num w:numId="12" w16cid:durableId="104811937">
    <w:abstractNumId w:val="11"/>
  </w:num>
  <w:num w:numId="13" w16cid:durableId="1782841523">
    <w:abstractNumId w:val="2"/>
  </w:num>
  <w:num w:numId="14" w16cid:durableId="33072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94"/>
    <w:rsid w:val="000249EF"/>
    <w:rsid w:val="00361861"/>
    <w:rsid w:val="00367CE7"/>
    <w:rsid w:val="007B0FAC"/>
    <w:rsid w:val="00C02811"/>
    <w:rsid w:val="00E7263F"/>
    <w:rsid w:val="00F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36A88"/>
  <w15:chartTrackingRefBased/>
  <w15:docId w15:val="{D3E127D8-0B4D-4C2B-B3DC-FF2C585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D0130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dgment.judicial.gov.tw/FJUD/data.aspx?ty=JD&amp;id=TPAA,108%2c%e4%b8%8a%2c894%2c20210916%2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Jing Chen</dc:creator>
  <cp:keywords/>
  <dc:description/>
  <cp:lastModifiedBy>Ya Jing Chen</cp:lastModifiedBy>
  <cp:revision>3</cp:revision>
  <dcterms:created xsi:type="dcterms:W3CDTF">2023-05-25T18:18:00Z</dcterms:created>
  <dcterms:modified xsi:type="dcterms:W3CDTF">2023-05-25T18:22:00Z</dcterms:modified>
</cp:coreProperties>
</file>