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19" w:rsidRPr="00F84AD4" w:rsidRDefault="00A65C19" w:rsidP="00A65C19">
      <w:pPr>
        <w:spacing w:beforeLines="200" w:before="480" w:line="400" w:lineRule="exact"/>
        <w:rPr>
          <w:rFonts w:ascii="微軟正黑體" w:eastAsia="微軟正黑體" w:hAnsi="微軟正黑體" w:cs="微軟正黑體" w:hint="default"/>
          <w:sz w:val="24"/>
          <w:szCs w:val="24"/>
          <w:bdr w:val="single" w:sz="4" w:space="0" w:color="auto"/>
        </w:rPr>
      </w:pPr>
      <w:r w:rsidRPr="00F84AD4">
        <w:rPr>
          <w:rFonts w:ascii="微軟正黑體" w:eastAsia="微軟正黑體" w:hAnsi="微軟正黑體" w:cs="微軟正黑體"/>
          <w:sz w:val="24"/>
          <w:szCs w:val="24"/>
          <w:bdr w:val="single" w:sz="4" w:space="0" w:color="auto"/>
          <w:lang w:val="zh-TW"/>
        </w:rPr>
        <w:t>附件</w:t>
      </w:r>
      <w:bookmarkStart w:id="0" w:name="_GoBack"/>
      <w:bookmarkEnd w:id="0"/>
    </w:p>
    <w:p w:rsidR="00A65C19" w:rsidRDefault="00A65C19" w:rsidP="00A65C19">
      <w:pPr>
        <w:spacing w:line="400" w:lineRule="exact"/>
        <w:rPr>
          <w:rFonts w:ascii="微軟正黑體" w:eastAsia="微軟正黑體" w:hAnsi="微軟正黑體" w:cs="微軟正黑體" w:hint="default"/>
          <w:sz w:val="24"/>
          <w:szCs w:val="24"/>
        </w:rPr>
      </w:pPr>
      <w:r>
        <w:rPr>
          <w:rFonts w:ascii="微軟正黑體" w:eastAsia="微軟正黑體" w:hAnsi="微軟正黑體" w:cs="微軟正黑體"/>
          <w:sz w:val="24"/>
          <w:szCs w:val="24"/>
        </w:rPr>
        <w:t>參考法條：</w:t>
      </w:r>
    </w:p>
    <w:p w:rsidR="00A65C19" w:rsidRDefault="00A65C19" w:rsidP="00A65C19">
      <w:pPr>
        <w:spacing w:line="400" w:lineRule="exact"/>
        <w:rPr>
          <w:rFonts w:ascii="微軟正黑體" w:eastAsia="微軟正黑體" w:hAnsi="微軟正黑體" w:cs="微軟正黑體" w:hint="default"/>
          <w:sz w:val="24"/>
          <w:szCs w:val="24"/>
        </w:rPr>
      </w:pPr>
      <w:r>
        <w:rPr>
          <w:rFonts w:ascii="微軟正黑體" w:eastAsia="微軟正黑體" w:hAnsi="微軟正黑體" w:cs="微軟正黑體"/>
          <w:sz w:val="24"/>
          <w:szCs w:val="24"/>
        </w:rPr>
        <w:t>礦業法第31條：「（第1項）礦業權展限之申請，非有下列情形之</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者，主管機關不得駁回：一、申請人與礦業權者不相符。二、無探礦或採礦實績。三、設定礦業權後，有新增第二十七條所列情形之</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。四、有第三十八條第二款至第四款所列情形之</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。五、有第五十七條第一項所定無法改善之情形。（第2項）依前項第三款規定將礦業權展限申請案駁回，致礦業權者受有損失者，礦業權者得就原核准礦業權期限內已發生之損失，向限制探、</w:t>
      </w:r>
      <w:proofErr w:type="gramStart"/>
      <w:r>
        <w:rPr>
          <w:rFonts w:ascii="微軟正黑體" w:eastAsia="微軟正黑體" w:hAnsi="微軟正黑體" w:cs="微軟正黑體"/>
          <w:sz w:val="24"/>
          <w:szCs w:val="24"/>
        </w:rPr>
        <w:t>採</w:t>
      </w:r>
      <w:proofErr w:type="gramEnd"/>
      <w:r>
        <w:rPr>
          <w:rFonts w:ascii="微軟正黑體" w:eastAsia="微軟正黑體" w:hAnsi="微軟正黑體" w:cs="微軟正黑體"/>
          <w:sz w:val="24"/>
          <w:szCs w:val="24"/>
        </w:rPr>
        <w:t>者或其他應負補償責任者，請求相當之補償。（第3項）前項損失之範圍及認定基準，由主管機關定之。」</w:t>
      </w:r>
    </w:p>
    <w:p w:rsidR="00A65C19" w:rsidRDefault="00A65C19" w:rsidP="00A65C19">
      <w:pPr>
        <w:spacing w:beforeLines="50" w:before="120" w:line="400" w:lineRule="exact"/>
        <w:rPr>
          <w:rFonts w:ascii="微軟正黑體" w:eastAsia="微軟正黑體" w:hAnsi="微軟正黑體" w:cs="微軟正黑體" w:hint="default"/>
          <w:sz w:val="24"/>
          <w:szCs w:val="24"/>
        </w:rPr>
      </w:pPr>
      <w:proofErr w:type="gramStart"/>
      <w:r>
        <w:rPr>
          <w:rFonts w:ascii="微軟正黑體" w:eastAsia="微軟正黑體" w:hAnsi="微軟正黑體" w:cs="微軟正黑體"/>
          <w:sz w:val="24"/>
          <w:szCs w:val="24"/>
        </w:rPr>
        <w:t>原基法</w:t>
      </w:r>
      <w:proofErr w:type="gramEnd"/>
      <w:r>
        <w:rPr>
          <w:rFonts w:ascii="微軟正黑體" w:eastAsia="微軟正黑體" w:hAnsi="微軟正黑體" w:cs="微軟正黑體"/>
          <w:sz w:val="24"/>
          <w:szCs w:val="24"/>
        </w:rPr>
        <w:t>第21條：「（第1項）政府或私人於原住民族土地或部落及其周邊一定範圍內之公有土地從事土地開發、資源利用、生態保育及學術研究，應諮商並取得原住民族或部落同意或參與，原住民得分享相關利益。（第2項）政府或法令限制原住民族利用前項土地及自然資源時，應與原住民族、部落或原住民諮商，並取得其同意；受限制所生之損失，應由該主管機關寬列預算補償之。（第3項）前二項營利所得，應</w:t>
      </w:r>
      <w:proofErr w:type="gramStart"/>
      <w:r>
        <w:rPr>
          <w:rFonts w:ascii="微軟正黑體" w:eastAsia="微軟正黑體" w:hAnsi="微軟正黑體" w:cs="微軟正黑體"/>
          <w:sz w:val="24"/>
          <w:szCs w:val="24"/>
        </w:rPr>
        <w:t>提撥</w:t>
      </w:r>
      <w:proofErr w:type="gramEnd"/>
      <w:r>
        <w:rPr>
          <w:rFonts w:ascii="微軟正黑體" w:eastAsia="微軟正黑體" w:hAnsi="微軟正黑體" w:cs="微軟正黑體"/>
          <w:sz w:val="24"/>
          <w:szCs w:val="24"/>
        </w:rPr>
        <w:t>一定比例納入原住民族綜合發展基金，作為回饋或補償經費。（第4項）前三項有關原住民族土地或部落及其周邊一定範圍內之公有土地之劃設、諮商及取得原住民族或部落之同意或參與方式、受限制所生損失之補償辦法，由中央原住民族主管機關另定之。」</w:t>
      </w:r>
    </w:p>
    <w:p w:rsidR="00A65C19" w:rsidRDefault="00A65C19" w:rsidP="00A65C19">
      <w:pPr>
        <w:spacing w:beforeLines="50" w:before="120" w:line="400" w:lineRule="exact"/>
        <w:rPr>
          <w:rFonts w:ascii="微軟正黑體" w:eastAsia="微軟正黑體" w:hAnsi="微軟正黑體" w:cs="微軟正黑體" w:hint="default"/>
          <w:sz w:val="24"/>
          <w:szCs w:val="24"/>
        </w:rPr>
      </w:pPr>
      <w:proofErr w:type="gramStart"/>
      <w:r>
        <w:rPr>
          <w:rFonts w:ascii="微軟正黑體" w:eastAsia="微軟正黑體" w:hAnsi="微軟正黑體" w:cs="微軟正黑體"/>
          <w:sz w:val="24"/>
          <w:szCs w:val="24"/>
        </w:rPr>
        <w:t>原基法</w:t>
      </w:r>
      <w:proofErr w:type="gramEnd"/>
      <w:r>
        <w:rPr>
          <w:rFonts w:ascii="微軟正黑體" w:eastAsia="微軟正黑體" w:hAnsi="微軟正黑體" w:cs="微軟正黑體"/>
          <w:sz w:val="24"/>
          <w:szCs w:val="24"/>
        </w:rPr>
        <w:t>第34條：「（第1項）主管機關應於本法施行後三年內，依本法之原則修正、制定或廢止相關法令。（第2項）前項法令制（訂）定、修正或廢止前，由中央原住民族主管機關會同中央目的事業主管機關，依本法之原則解釋、適用之。」</w:t>
      </w:r>
    </w:p>
    <w:p w:rsidR="00A65C19" w:rsidRDefault="00A65C19" w:rsidP="00A65C19">
      <w:pPr>
        <w:spacing w:beforeLines="50" w:before="120" w:line="400" w:lineRule="exact"/>
        <w:rPr>
          <w:rFonts w:ascii="微軟正黑體" w:eastAsia="微軟正黑體" w:hAnsi="微軟正黑體" w:cs="微軟正黑體" w:hint="default"/>
          <w:sz w:val="24"/>
          <w:szCs w:val="24"/>
        </w:rPr>
      </w:pPr>
      <w:r>
        <w:rPr>
          <w:rFonts w:ascii="微軟正黑體" w:eastAsia="微軟正黑體" w:hAnsi="微軟正黑體" w:cs="微軟正黑體"/>
          <w:sz w:val="24"/>
          <w:szCs w:val="24"/>
        </w:rPr>
        <w:t>諮商取得原住民族部落同意參與辦法第3條：「（第1項）本法第二十一條所稱土地開發、資源利用、生態保育、學術研究及限制原住民族利用等行為，指附件所列之行為。（第2項）中央原住民族主管機關應依申請人或部落之請求，或本於職權確認前項行為。（第3項）中央原住民族主管機關得邀集機關代表、學者專家、原住民族代表及部落代表協助辦理前項確認作業。（第4項）中央原住民族主管機關得委託其他機關、大專院校或醫療機構，確認第一項行為。」</w:t>
      </w:r>
    </w:p>
    <w:p w:rsidR="00A65C19" w:rsidRDefault="00A65C19" w:rsidP="00A65C19">
      <w:pPr>
        <w:spacing w:beforeLines="50" w:before="120" w:line="400" w:lineRule="exact"/>
        <w:rPr>
          <w:rFonts w:ascii="微軟正黑體" w:eastAsia="微軟正黑體" w:hAnsi="微軟正黑體" w:cs="微軟正黑體" w:hint="default"/>
          <w:sz w:val="24"/>
          <w:szCs w:val="24"/>
        </w:rPr>
      </w:pPr>
      <w:r>
        <w:rPr>
          <w:rFonts w:ascii="微軟正黑體" w:eastAsia="微軟正黑體" w:hAnsi="微軟正黑體" w:cs="微軟正黑體"/>
          <w:sz w:val="24"/>
          <w:szCs w:val="24"/>
        </w:rPr>
        <w:t>行政院處</w:t>
      </w:r>
      <w:proofErr w:type="gramStart"/>
      <w:r>
        <w:rPr>
          <w:rFonts w:ascii="微軟正黑體" w:eastAsia="微軟正黑體" w:hAnsi="微軟正黑體" w:cs="微軟正黑體"/>
          <w:sz w:val="24"/>
          <w:szCs w:val="24"/>
        </w:rPr>
        <w:t>務</w:t>
      </w:r>
      <w:proofErr w:type="gramEnd"/>
      <w:r>
        <w:rPr>
          <w:rFonts w:ascii="微軟正黑體" w:eastAsia="微軟正黑體" w:hAnsi="微軟正黑體" w:cs="微軟正黑體"/>
          <w:sz w:val="24"/>
          <w:szCs w:val="24"/>
        </w:rPr>
        <w:t>規程第3條：「政務委員負責政策與法案之審查、主持專案工作、聯繫協調並統合各部會意見及辦理院長交辦事項。」</w:t>
      </w:r>
    </w:p>
    <w:p w:rsidR="00413933" w:rsidRDefault="00413933"/>
    <w:sectPr w:rsidR="00413933">
      <w:headerReference w:type="default" r:id="rId4"/>
      <w:footerReference w:type="default" r:id="rId5"/>
      <w:pgSz w:w="11900" w:h="16840"/>
      <w:pgMar w:top="737" w:right="737" w:bottom="737" w:left="737"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Neue">
    <w:altName w:val="Times New Roman"/>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53" w:rsidRDefault="00A65C1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53" w:rsidRDefault="00A65C19">
    <w:pPr>
      <w:pStyle w:val="a3"/>
      <w:spacing w:line="300" w:lineRule="exact"/>
      <w:rPr>
        <w:rFonts w:hint="default"/>
        <w:lang w:val="zh-TW"/>
      </w:rPr>
    </w:pPr>
    <w:r>
      <w:rPr>
        <w:lang w:val="zh-TW"/>
      </w:rPr>
      <w:t>礦業改革，立即修法</w:t>
    </w:r>
  </w:p>
  <w:p w:rsidR="002E7253" w:rsidRDefault="00A65C19">
    <w:pPr>
      <w:pStyle w:val="a3"/>
      <w:spacing w:line="300" w:lineRule="exact"/>
      <w:rPr>
        <w:rFonts w:hint="default"/>
      </w:rPr>
    </w:pPr>
    <w:r>
      <w:rPr>
        <w:lang w:val="zh-TW"/>
      </w:rPr>
      <w:t>台灣蠻野心足生態協會</w:t>
    </w:r>
    <w:r>
      <w:t>/</w:t>
    </w:r>
    <w:r>
      <w:rPr>
        <w:lang w:val="zh-TW"/>
      </w:rPr>
      <w:t>謝孟羽</w:t>
    </w:r>
    <w:r>
      <w:t>0927-686-625</w:t>
    </w:r>
    <w:r>
      <w:rPr>
        <w:lang w:val="zh-TW"/>
      </w:rPr>
      <w:t>、地球公民基金會</w:t>
    </w:r>
    <w:r>
      <w:t>/</w:t>
    </w:r>
    <w:r>
      <w:rPr>
        <w:lang w:val="zh-TW"/>
      </w:rPr>
      <w:t>黃靖庭</w:t>
    </w:r>
    <w:r>
      <w:t>0926-204-988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19"/>
    <w:rsid w:val="00413933"/>
    <w:rsid w:val="00A65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740AC-6B86-41BE-B229-F508CABD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5C19"/>
    <w:pPr>
      <w:widowControl w:val="0"/>
      <w:pBdr>
        <w:top w:val="nil"/>
        <w:left w:val="nil"/>
        <w:bottom w:val="nil"/>
        <w:right w:val="nil"/>
        <w:between w:val="nil"/>
        <w:bar w:val="nil"/>
      </w:pBdr>
      <w:spacing w:line="276" w:lineRule="auto"/>
    </w:pPr>
    <w:rPr>
      <w:rFonts w:ascii="Arial Unicode MS" w:hAnsi="Arial Unicode MS" w:cs="Arial Unicode MS" w:hint="eastAsia"/>
      <w:color w:val="000000"/>
      <w:kern w:val="0"/>
      <w:sz w:val="22"/>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A65C19"/>
    <w:pPr>
      <w:widowControl w:val="0"/>
      <w:pBdr>
        <w:top w:val="nil"/>
        <w:left w:val="nil"/>
        <w:bottom w:val="nil"/>
        <w:right w:val="nil"/>
        <w:between w:val="nil"/>
        <w:bar w:val="nil"/>
      </w:pBdr>
      <w:tabs>
        <w:tab w:val="center" w:pos="4153"/>
        <w:tab w:val="right" w:pos="8306"/>
      </w:tabs>
      <w:spacing w:line="276" w:lineRule="auto"/>
    </w:pPr>
    <w:rPr>
      <w:rFonts w:ascii="Arial Unicode MS" w:hAnsi="Arial Unicode MS" w:cs="Arial Unicode MS" w:hint="eastAsia"/>
      <w:color w:val="000000"/>
      <w:kern w:val="0"/>
      <w:sz w:val="20"/>
      <w:szCs w:val="20"/>
      <w:u w:color="000000"/>
      <w:bdr w:val="nil"/>
    </w:rPr>
  </w:style>
  <w:style w:type="character" w:customStyle="1" w:styleId="a4">
    <w:name w:val="頁首 字元"/>
    <w:basedOn w:val="a0"/>
    <w:link w:val="a3"/>
    <w:rsid w:val="00A65C19"/>
    <w:rPr>
      <w:rFonts w:ascii="Arial Unicode MS" w:hAnsi="Arial Unicode MS" w:cs="Arial Unicode MS"/>
      <w:color w:val="000000"/>
      <w:kern w:val="0"/>
      <w:sz w:val="20"/>
      <w:szCs w:val="20"/>
      <w:u w:color="000000"/>
      <w:bdr w:val="nil"/>
    </w:rPr>
  </w:style>
  <w:style w:type="paragraph" w:customStyle="1" w:styleId="a5">
    <w:name w:val="頁首與頁尾"/>
    <w:rsid w:val="00A65C19"/>
    <w:pPr>
      <w:pBdr>
        <w:top w:val="nil"/>
        <w:left w:val="nil"/>
        <w:bottom w:val="nil"/>
        <w:right w:val="nil"/>
        <w:between w:val="nil"/>
        <w:bar w:val="nil"/>
      </w:pBdr>
      <w:tabs>
        <w:tab w:val="right" w:pos="9020"/>
      </w:tabs>
    </w:pPr>
    <w:rPr>
      <w:rFonts w:ascii="Helvetica Neue" w:eastAsia="Helvetica Neue" w:hAnsi="Helvetica Neue" w:cs="Helvetica Neue"/>
      <w:color w:val="000000"/>
      <w:kern w:val="0"/>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Cora</cp:lastModifiedBy>
  <cp:revision>1</cp:revision>
  <dcterms:created xsi:type="dcterms:W3CDTF">2017-09-21T03:54:00Z</dcterms:created>
  <dcterms:modified xsi:type="dcterms:W3CDTF">2017-09-21T03:58:00Z</dcterms:modified>
</cp:coreProperties>
</file>