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85ECF" w14:textId="134366B3" w:rsidR="00E52AD4" w:rsidRPr="009900C4" w:rsidRDefault="00E52AD4" w:rsidP="00E52AD4">
      <w:pPr>
        <w:rPr>
          <w:rFonts w:ascii="標楷體" w:eastAsia="標楷體" w:hAnsi="標楷體"/>
          <w:b/>
          <w:sz w:val="28"/>
          <w:bdr w:val="single" w:sz="4" w:space="0" w:color="auto"/>
        </w:rPr>
      </w:pPr>
      <w:bookmarkStart w:id="0" w:name="_GoBack"/>
      <w:bookmarkEnd w:id="0"/>
      <w:r w:rsidRPr="009900C4">
        <w:rPr>
          <w:rFonts w:ascii="標楷體" w:eastAsia="標楷體" w:hAnsi="標楷體" w:hint="eastAsia"/>
          <w:b/>
          <w:sz w:val="28"/>
          <w:bdr w:val="single" w:sz="4" w:space="0" w:color="auto"/>
        </w:rPr>
        <w:t>附</w:t>
      </w:r>
      <w:r w:rsidR="009900C4" w:rsidRPr="009900C4">
        <w:rPr>
          <w:rFonts w:ascii="標楷體" w:eastAsia="標楷體" w:hAnsi="標楷體" w:hint="eastAsia"/>
          <w:b/>
          <w:sz w:val="28"/>
          <w:bdr w:val="single" w:sz="4" w:space="0" w:color="auto"/>
        </w:rPr>
        <w:t xml:space="preserve">　</w:t>
      </w:r>
      <w:r w:rsidRPr="009900C4">
        <w:rPr>
          <w:rFonts w:ascii="標楷體" w:eastAsia="標楷體" w:hAnsi="標楷體" w:hint="eastAsia"/>
          <w:b/>
          <w:sz w:val="28"/>
          <w:bdr w:val="single" w:sz="4" w:space="0" w:color="auto"/>
        </w:rPr>
        <w:t>件</w:t>
      </w:r>
      <w:proofErr w:type="gramStart"/>
      <w:r w:rsidR="00E031F6">
        <w:rPr>
          <w:rFonts w:ascii="標楷體" w:eastAsia="標楷體" w:hAnsi="標楷體" w:hint="eastAsia"/>
          <w:b/>
          <w:sz w:val="28"/>
          <w:bdr w:val="single" w:sz="4" w:space="0" w:color="auto"/>
        </w:rPr>
        <w:t>一</w:t>
      </w:r>
      <w:proofErr w:type="gramEnd"/>
    </w:p>
    <w:tbl>
      <w:tblPr>
        <w:tblStyle w:val="a8"/>
        <w:tblW w:w="15163" w:type="dxa"/>
        <w:tblLook w:val="04A0" w:firstRow="1" w:lastRow="0" w:firstColumn="1" w:lastColumn="0" w:noHBand="0" w:noVBand="1"/>
      </w:tblPr>
      <w:tblGrid>
        <w:gridCol w:w="3823"/>
        <w:gridCol w:w="7229"/>
        <w:gridCol w:w="4111"/>
      </w:tblGrid>
      <w:tr w:rsidR="008E7F06" w:rsidRPr="00E969FC" w14:paraId="49692E74" w14:textId="77777777" w:rsidTr="005F2352">
        <w:tc>
          <w:tcPr>
            <w:tcW w:w="3823" w:type="dxa"/>
            <w:shd w:val="clear" w:color="auto" w:fill="7F7F7F" w:themeFill="text1" w:themeFillTint="80"/>
          </w:tcPr>
          <w:p w14:paraId="30C9F0F5" w14:textId="751EBC0A" w:rsidR="009900C4" w:rsidRPr="00E969FC" w:rsidRDefault="00D67AF5" w:rsidP="009900C4">
            <w:pPr>
              <w:jc w:val="center"/>
              <w:rPr>
                <w:rFonts w:ascii="標楷體" w:eastAsia="標楷體" w:hAnsi="標楷體"/>
                <w:b/>
                <w:color w:val="FFFFFF" w:themeColor="background1"/>
              </w:rPr>
            </w:pPr>
            <w:r w:rsidRPr="00E969FC">
              <w:rPr>
                <w:rFonts w:ascii="標楷體" w:eastAsia="標楷體" w:hAnsi="標楷體" w:hint="eastAsia"/>
                <w:b/>
                <w:color w:val="FFFFFF" w:themeColor="background1"/>
              </w:rPr>
              <w:t>訴求</w:t>
            </w:r>
            <w:r w:rsidR="009900C4">
              <w:rPr>
                <w:rFonts w:ascii="標楷體" w:eastAsia="標楷體" w:hAnsi="標楷體" w:hint="eastAsia"/>
                <w:b/>
                <w:color w:val="FFFFFF" w:themeColor="background1"/>
              </w:rPr>
              <w:t>內容</w:t>
            </w:r>
          </w:p>
        </w:tc>
        <w:tc>
          <w:tcPr>
            <w:tcW w:w="7229" w:type="dxa"/>
            <w:shd w:val="clear" w:color="auto" w:fill="7F7F7F" w:themeFill="text1" w:themeFillTint="80"/>
          </w:tcPr>
          <w:p w14:paraId="4E2DC4F7" w14:textId="77777777" w:rsidR="00D67AF5" w:rsidRPr="00E969FC" w:rsidRDefault="00D67AF5" w:rsidP="0027559A">
            <w:pPr>
              <w:jc w:val="center"/>
              <w:rPr>
                <w:rFonts w:ascii="標楷體" w:eastAsia="標楷體" w:hAnsi="標楷體"/>
                <w:b/>
                <w:color w:val="FFFFFF" w:themeColor="background1"/>
              </w:rPr>
            </w:pPr>
            <w:r w:rsidRPr="00E969FC">
              <w:rPr>
                <w:rFonts w:ascii="標楷體" w:eastAsia="標楷體" w:hAnsi="標楷體" w:hint="eastAsia"/>
                <w:b/>
                <w:color w:val="FFFFFF" w:themeColor="background1"/>
              </w:rPr>
              <w:t>說明</w:t>
            </w:r>
          </w:p>
        </w:tc>
        <w:tc>
          <w:tcPr>
            <w:tcW w:w="4111" w:type="dxa"/>
            <w:shd w:val="clear" w:color="auto" w:fill="7F7F7F" w:themeFill="text1" w:themeFillTint="80"/>
          </w:tcPr>
          <w:p w14:paraId="4CEA0907" w14:textId="77777777" w:rsidR="00D67AF5" w:rsidRPr="00E969FC" w:rsidRDefault="00E969FC" w:rsidP="0027559A">
            <w:pPr>
              <w:jc w:val="center"/>
              <w:rPr>
                <w:rFonts w:ascii="標楷體" w:eastAsia="標楷體" w:hAnsi="標楷體"/>
                <w:b/>
                <w:color w:val="FFFFFF" w:themeColor="background1"/>
              </w:rPr>
            </w:pPr>
            <w:r w:rsidRPr="00E969FC">
              <w:rPr>
                <w:rFonts w:ascii="標楷體" w:eastAsia="標楷體" w:hAnsi="標楷體" w:hint="eastAsia"/>
                <w:b/>
                <w:color w:val="FFFFFF" w:themeColor="background1"/>
              </w:rPr>
              <w:t>相關</w:t>
            </w:r>
            <w:r w:rsidR="00D67AF5" w:rsidRPr="00E969FC">
              <w:rPr>
                <w:rFonts w:ascii="標楷體" w:eastAsia="標楷體" w:hAnsi="標楷體" w:hint="eastAsia"/>
                <w:b/>
                <w:color w:val="FFFFFF" w:themeColor="background1"/>
              </w:rPr>
              <w:t>修正條文</w:t>
            </w:r>
          </w:p>
        </w:tc>
      </w:tr>
      <w:tr w:rsidR="00D67AF5" w:rsidRPr="00D67AF5" w14:paraId="3CA7A5D6" w14:textId="77777777" w:rsidTr="005F2352">
        <w:tc>
          <w:tcPr>
            <w:tcW w:w="3823" w:type="dxa"/>
          </w:tcPr>
          <w:p w14:paraId="6327FAF8" w14:textId="7F0799BA" w:rsidR="00D67AF5" w:rsidRPr="00E969FC" w:rsidRDefault="00734946" w:rsidP="00BF7917">
            <w:pPr>
              <w:pStyle w:val="a7"/>
              <w:numPr>
                <w:ilvl w:val="0"/>
                <w:numId w:val="3"/>
              </w:numPr>
              <w:ind w:leftChars="0"/>
              <w:jc w:val="both"/>
              <w:rPr>
                <w:rFonts w:ascii="標楷體" w:eastAsia="標楷體" w:hAnsi="標楷體"/>
                <w:b/>
              </w:rPr>
            </w:pPr>
            <w:r w:rsidRPr="00734946">
              <w:rPr>
                <w:rFonts w:ascii="標楷體" w:eastAsia="標楷體" w:hAnsi="標楷體" w:hint="eastAsia"/>
                <w:b/>
              </w:rPr>
              <w:t>環境保護主管機關就環境管制事項應有完整決策權限，</w:t>
            </w:r>
            <w:r>
              <w:rPr>
                <w:rFonts w:ascii="標楷體" w:eastAsia="標楷體" w:hAnsi="標楷體" w:hint="eastAsia"/>
                <w:b/>
              </w:rPr>
              <w:t>建議</w:t>
            </w:r>
            <w:r w:rsidR="00BF7917">
              <w:rPr>
                <w:rFonts w:ascii="標楷體" w:eastAsia="標楷體" w:hAnsi="標楷體" w:hint="eastAsia"/>
                <w:b/>
              </w:rPr>
              <w:t>刪除</w:t>
            </w:r>
            <w:r w:rsidR="00084655" w:rsidRPr="00E969FC">
              <w:rPr>
                <w:rFonts w:ascii="標楷體" w:eastAsia="標楷體" w:hAnsi="標楷體" w:hint="eastAsia"/>
                <w:b/>
              </w:rPr>
              <w:t>行政院版草案第12</w:t>
            </w:r>
            <w:r w:rsidR="00BF7917">
              <w:rPr>
                <w:rFonts w:ascii="標楷體" w:eastAsia="標楷體" w:hAnsi="標楷體" w:hint="eastAsia"/>
                <w:b/>
              </w:rPr>
              <w:t>條及</w:t>
            </w:r>
            <w:r w:rsidR="00084655" w:rsidRPr="00E969FC">
              <w:rPr>
                <w:rFonts w:ascii="標楷體" w:eastAsia="標楷體" w:hAnsi="標楷體" w:hint="eastAsia"/>
                <w:b/>
              </w:rPr>
              <w:t>第14條</w:t>
            </w:r>
            <w:r w:rsidR="00B83664" w:rsidRPr="00E969FC">
              <w:rPr>
                <w:rFonts w:ascii="標楷體" w:eastAsia="標楷體" w:hAnsi="標楷體" w:hint="eastAsia"/>
                <w:b/>
              </w:rPr>
              <w:t>有關</w:t>
            </w:r>
            <w:r w:rsidR="00AF6D62">
              <w:rPr>
                <w:rFonts w:ascii="標楷體" w:eastAsia="標楷體" w:hAnsi="標楷體" w:hint="eastAsia"/>
                <w:b/>
              </w:rPr>
              <w:t>「會同」</w:t>
            </w:r>
            <w:r w:rsidR="00D67AF5" w:rsidRPr="00E969FC">
              <w:rPr>
                <w:rFonts w:ascii="標楷體" w:eastAsia="標楷體" w:hAnsi="標楷體" w:hint="eastAsia"/>
                <w:b/>
              </w:rPr>
              <w:t>文字</w:t>
            </w:r>
            <w:r w:rsidR="00B83664" w:rsidRPr="00E969FC">
              <w:rPr>
                <w:rFonts w:ascii="標楷體" w:eastAsia="標楷體" w:hAnsi="標楷體" w:hint="eastAsia"/>
                <w:b/>
              </w:rPr>
              <w:t>用語</w:t>
            </w:r>
            <w:r w:rsidR="00D67AF5" w:rsidRPr="00E969FC">
              <w:rPr>
                <w:rFonts w:ascii="標楷體" w:eastAsia="標楷體" w:hAnsi="標楷體" w:hint="eastAsia"/>
                <w:b/>
              </w:rPr>
              <w:t>。</w:t>
            </w:r>
          </w:p>
        </w:tc>
        <w:tc>
          <w:tcPr>
            <w:tcW w:w="7229" w:type="dxa"/>
          </w:tcPr>
          <w:p w14:paraId="0FD3EC57" w14:textId="32A20E81" w:rsidR="00D67AF5" w:rsidRPr="00D67AF5" w:rsidRDefault="00F078B6" w:rsidP="00AF6D62">
            <w:pPr>
              <w:jc w:val="both"/>
              <w:rPr>
                <w:rFonts w:ascii="標楷體" w:eastAsia="標楷體" w:hAnsi="標楷體"/>
                <w:b/>
              </w:rPr>
            </w:pPr>
            <w:r>
              <w:rPr>
                <w:rFonts w:ascii="標楷體" w:eastAsia="標楷體" w:hAnsi="標楷體" w:hint="eastAsia"/>
                <w:szCs w:val="24"/>
              </w:rPr>
              <w:t>過去經驗指出，</w:t>
            </w:r>
            <w:r w:rsidR="00063B62">
              <w:rPr>
                <w:rFonts w:ascii="標楷體" w:eastAsia="標楷體" w:hAnsi="標楷體" w:hint="eastAsia"/>
                <w:szCs w:val="24"/>
              </w:rPr>
              <w:t>環境保護</w:t>
            </w:r>
            <w:r w:rsidR="00233E08">
              <w:rPr>
                <w:rFonts w:ascii="標楷體" w:eastAsia="標楷體" w:hAnsi="標楷體" w:hint="eastAsia"/>
                <w:szCs w:val="24"/>
              </w:rPr>
              <w:t>主管機關即</w:t>
            </w:r>
            <w:r>
              <w:rPr>
                <w:rFonts w:ascii="標楷體" w:eastAsia="標楷體" w:hAnsi="標楷體" w:hint="eastAsia"/>
                <w:szCs w:val="24"/>
              </w:rPr>
              <w:t>環保署</w:t>
            </w:r>
            <w:r w:rsidR="00233E08">
              <w:rPr>
                <w:rFonts w:ascii="標楷體" w:eastAsia="標楷體" w:hAnsi="標楷體" w:hint="eastAsia"/>
                <w:szCs w:val="24"/>
              </w:rPr>
              <w:t>，於</w:t>
            </w:r>
            <w:r>
              <w:rPr>
                <w:rFonts w:ascii="標楷體" w:eastAsia="標楷體" w:hAnsi="標楷體" w:hint="eastAsia"/>
                <w:szCs w:val="24"/>
              </w:rPr>
              <w:t>推行</w:t>
            </w:r>
            <w:r w:rsidR="00233E08">
              <w:rPr>
                <w:rFonts w:ascii="標楷體" w:eastAsia="標楷體" w:hAnsi="標楷體" w:hint="eastAsia"/>
                <w:szCs w:val="24"/>
              </w:rPr>
              <w:t>空污相關管制</w:t>
            </w:r>
            <w:r>
              <w:rPr>
                <w:rFonts w:ascii="標楷體" w:eastAsia="標楷體" w:hAnsi="標楷體" w:hint="eastAsia"/>
                <w:szCs w:val="24"/>
              </w:rPr>
              <w:t>辦法</w:t>
            </w:r>
            <w:r w:rsidR="00233E08">
              <w:rPr>
                <w:rFonts w:ascii="標楷體" w:eastAsia="標楷體" w:hAnsi="標楷體" w:hint="eastAsia"/>
                <w:szCs w:val="24"/>
              </w:rPr>
              <w:t>或</w:t>
            </w:r>
            <w:r>
              <w:rPr>
                <w:rFonts w:ascii="標楷體" w:eastAsia="標楷體" w:hAnsi="標楷體" w:hint="eastAsia"/>
                <w:szCs w:val="24"/>
              </w:rPr>
              <w:t>計畫時，</w:t>
            </w:r>
            <w:r w:rsidR="00AF6D62">
              <w:rPr>
                <w:rFonts w:ascii="標楷體" w:eastAsia="標楷體" w:hAnsi="標楷體" w:hint="eastAsia"/>
                <w:szCs w:val="24"/>
              </w:rPr>
              <w:t>因須「會同」</w:t>
            </w:r>
            <w:r>
              <w:rPr>
                <w:rFonts w:ascii="標楷體" w:eastAsia="標楷體" w:hAnsi="標楷體" w:hint="eastAsia"/>
                <w:szCs w:val="24"/>
              </w:rPr>
              <w:t>其他機關</w:t>
            </w:r>
            <w:r w:rsidR="00AF6D62">
              <w:rPr>
                <w:rFonts w:ascii="標楷體" w:eastAsia="標楷體" w:hAnsi="標楷體" w:hint="eastAsia"/>
                <w:szCs w:val="24"/>
              </w:rPr>
              <w:t>而受到</w:t>
            </w:r>
            <w:r w:rsidR="00233E08">
              <w:rPr>
                <w:rFonts w:ascii="標楷體" w:eastAsia="標楷體" w:hAnsi="標楷體" w:hint="eastAsia"/>
                <w:szCs w:val="24"/>
              </w:rPr>
              <w:t>相當大之牽制，以至於無法順利推行</w:t>
            </w:r>
            <w:r>
              <w:rPr>
                <w:rFonts w:ascii="標楷體" w:eastAsia="標楷體" w:hAnsi="標楷體" w:hint="eastAsia"/>
                <w:szCs w:val="24"/>
              </w:rPr>
              <w:t>。</w:t>
            </w:r>
            <w:r w:rsidR="00233E08">
              <w:rPr>
                <w:rFonts w:ascii="標楷體" w:eastAsia="標楷體" w:hAnsi="標楷體" w:hint="eastAsia"/>
                <w:szCs w:val="24"/>
              </w:rPr>
              <w:t>例</w:t>
            </w:r>
            <w:r>
              <w:rPr>
                <w:rFonts w:ascii="標楷體" w:eastAsia="標楷體" w:hAnsi="標楷體" w:hint="eastAsia"/>
                <w:szCs w:val="24"/>
              </w:rPr>
              <w:t>如</w:t>
            </w:r>
            <w:r w:rsidR="00233E08">
              <w:rPr>
                <w:rFonts w:ascii="標楷體" w:eastAsia="標楷體" w:hAnsi="標楷體" w:hint="eastAsia"/>
                <w:szCs w:val="24"/>
              </w:rPr>
              <w:t>空污總量管制機制早於1999年即已入法，但</w:t>
            </w:r>
            <w:r>
              <w:rPr>
                <w:rFonts w:ascii="標楷體" w:eastAsia="標楷體" w:hAnsi="標楷體" w:hint="eastAsia"/>
                <w:szCs w:val="24"/>
              </w:rPr>
              <w:t>高屏地區總量管制</w:t>
            </w:r>
            <w:r w:rsidR="00233E08">
              <w:rPr>
                <w:rFonts w:ascii="標楷體" w:eastAsia="標楷體" w:hAnsi="標楷體" w:hint="eastAsia"/>
                <w:szCs w:val="24"/>
              </w:rPr>
              <w:t>計畫，卻因空污法第12條規定，須「會同」經濟部公告實施，遲至2015年才正式公告，足足延宕</w:t>
            </w:r>
            <w:r w:rsidRPr="00012B74">
              <w:rPr>
                <w:rFonts w:ascii="標楷體" w:eastAsia="標楷體" w:hAnsi="標楷體" w:hint="eastAsia"/>
                <w:szCs w:val="24"/>
              </w:rPr>
              <w:t>16年</w:t>
            </w:r>
            <w:r w:rsidR="00233E08">
              <w:rPr>
                <w:rFonts w:ascii="標楷體" w:eastAsia="標楷體" w:hAnsi="標楷體" w:hint="eastAsia"/>
                <w:szCs w:val="24"/>
              </w:rPr>
              <w:t>之久。如今行政院版草案</w:t>
            </w:r>
            <w:r w:rsidRPr="00012B74">
              <w:rPr>
                <w:rFonts w:ascii="標楷體" w:eastAsia="標楷體" w:hAnsi="標楷體" w:hint="eastAsia"/>
                <w:szCs w:val="24"/>
              </w:rPr>
              <w:t>仍</w:t>
            </w:r>
            <w:r w:rsidR="00233E08">
              <w:rPr>
                <w:rFonts w:ascii="標楷體" w:eastAsia="標楷體" w:hAnsi="標楷體" w:hint="eastAsia"/>
                <w:szCs w:val="24"/>
              </w:rPr>
              <w:t>維持</w:t>
            </w:r>
            <w:r w:rsidRPr="00012B74">
              <w:rPr>
                <w:rFonts w:ascii="標楷體" w:eastAsia="標楷體" w:hAnsi="標楷體" w:hint="eastAsia"/>
                <w:szCs w:val="24"/>
              </w:rPr>
              <w:t>「會同」</w:t>
            </w:r>
            <w:r w:rsidR="00233E08">
              <w:rPr>
                <w:rFonts w:ascii="標楷體" w:eastAsia="標楷體" w:hAnsi="標楷體" w:hint="eastAsia"/>
                <w:szCs w:val="24"/>
              </w:rPr>
              <w:t>文字</w:t>
            </w:r>
            <w:r w:rsidRPr="00012B74">
              <w:rPr>
                <w:rFonts w:ascii="標楷體" w:eastAsia="標楷體" w:hAnsi="標楷體" w:hint="eastAsia"/>
                <w:szCs w:val="24"/>
              </w:rPr>
              <w:t>，</w:t>
            </w:r>
            <w:r w:rsidR="00063B62">
              <w:rPr>
                <w:rFonts w:ascii="標楷體" w:eastAsia="標楷體" w:hAnsi="標楷體" w:hint="eastAsia"/>
                <w:szCs w:val="24"/>
              </w:rPr>
              <w:t>造成環保署推行污染管制措施之阻礙。</w:t>
            </w:r>
            <w:r w:rsidR="00AF6D62">
              <w:rPr>
                <w:rFonts w:ascii="標楷體" w:eastAsia="標楷體" w:hAnsi="標楷體" w:hint="eastAsia"/>
                <w:szCs w:val="24"/>
              </w:rPr>
              <w:t>因此，要求刪除</w:t>
            </w:r>
            <w:r w:rsidR="00BF7917">
              <w:rPr>
                <w:rFonts w:ascii="標楷體" w:eastAsia="標楷體" w:hAnsi="標楷體" w:hint="eastAsia"/>
                <w:szCs w:val="24"/>
              </w:rPr>
              <w:t>草案第12條及第14條</w:t>
            </w:r>
            <w:r w:rsidR="00AF6D62">
              <w:rPr>
                <w:rFonts w:ascii="標楷體" w:eastAsia="標楷體" w:hAnsi="標楷體" w:hint="eastAsia"/>
                <w:szCs w:val="24"/>
              </w:rPr>
              <w:t>條文相關「會商」</w:t>
            </w:r>
            <w:r w:rsidR="0040055B">
              <w:rPr>
                <w:rFonts w:ascii="標楷體" w:eastAsia="標楷體" w:hAnsi="標楷體" w:hint="eastAsia"/>
                <w:szCs w:val="24"/>
              </w:rPr>
              <w:t>文字，</w:t>
            </w:r>
            <w:r w:rsidR="00233E08">
              <w:rPr>
                <w:rFonts w:ascii="標楷體" w:eastAsia="標楷體" w:hAnsi="標楷體" w:hint="eastAsia"/>
                <w:szCs w:val="24"/>
              </w:rPr>
              <w:t>讓環境保護主管機關</w:t>
            </w:r>
            <w:r w:rsidR="0040055B">
              <w:rPr>
                <w:rFonts w:ascii="標楷體" w:eastAsia="標楷體" w:hAnsi="標楷體" w:hint="eastAsia"/>
                <w:szCs w:val="24"/>
              </w:rPr>
              <w:t>本於</w:t>
            </w:r>
            <w:r w:rsidR="00233E08">
              <w:rPr>
                <w:rFonts w:ascii="標楷體" w:eastAsia="標楷體" w:hAnsi="標楷體" w:hint="eastAsia"/>
                <w:szCs w:val="24"/>
              </w:rPr>
              <w:t>其職權</w:t>
            </w:r>
            <w:r w:rsidR="0040055B">
              <w:rPr>
                <w:rFonts w:ascii="標楷體" w:eastAsia="標楷體" w:hAnsi="標楷體" w:hint="eastAsia"/>
                <w:szCs w:val="24"/>
              </w:rPr>
              <w:t>，對於污染管制措施能有完整的決策權限。</w:t>
            </w:r>
          </w:p>
        </w:tc>
        <w:tc>
          <w:tcPr>
            <w:tcW w:w="4111" w:type="dxa"/>
          </w:tcPr>
          <w:p w14:paraId="501E7CD4" w14:textId="4BDC5B1C" w:rsidR="00D67AF5" w:rsidRPr="00E969FC" w:rsidRDefault="00084655" w:rsidP="00BF7917">
            <w:pPr>
              <w:jc w:val="both"/>
              <w:rPr>
                <w:rFonts w:ascii="標楷體" w:eastAsia="標楷體" w:hAnsi="標楷體"/>
              </w:rPr>
            </w:pPr>
            <w:r w:rsidRPr="00E969FC">
              <w:rPr>
                <w:rFonts w:ascii="標楷體" w:eastAsia="標楷體" w:hAnsi="標楷體" w:hint="eastAsia"/>
              </w:rPr>
              <w:t>行政院版草案</w:t>
            </w:r>
            <w:r w:rsidR="00E969FC" w:rsidRPr="00E969FC">
              <w:rPr>
                <w:rFonts w:ascii="標楷體" w:eastAsia="標楷體" w:hAnsi="標楷體" w:hint="eastAsia"/>
              </w:rPr>
              <w:t>第12</w:t>
            </w:r>
            <w:r w:rsidR="00537169">
              <w:rPr>
                <w:rFonts w:ascii="標楷體" w:eastAsia="標楷體" w:hAnsi="標楷體" w:hint="eastAsia"/>
              </w:rPr>
              <w:t>條及</w:t>
            </w:r>
            <w:r w:rsidR="00E969FC" w:rsidRPr="00E969FC">
              <w:rPr>
                <w:rFonts w:ascii="標楷體" w:eastAsia="標楷體" w:hAnsi="標楷體" w:hint="eastAsia"/>
              </w:rPr>
              <w:t>第14條</w:t>
            </w:r>
            <w:r w:rsidR="001233B0">
              <w:rPr>
                <w:rFonts w:ascii="標楷體" w:eastAsia="標楷體" w:hAnsi="標楷體" w:hint="eastAsia"/>
              </w:rPr>
              <w:t>。</w:t>
            </w:r>
          </w:p>
        </w:tc>
      </w:tr>
      <w:tr w:rsidR="00D67AF5" w:rsidRPr="00D67AF5" w14:paraId="2FBC8AC5" w14:textId="77777777" w:rsidTr="005F2352">
        <w:tc>
          <w:tcPr>
            <w:tcW w:w="3823" w:type="dxa"/>
          </w:tcPr>
          <w:p w14:paraId="0691CDE6" w14:textId="77777777" w:rsidR="00D67AF5" w:rsidRPr="00E969FC" w:rsidRDefault="00D67AF5" w:rsidP="0027559A">
            <w:pPr>
              <w:pStyle w:val="a7"/>
              <w:numPr>
                <w:ilvl w:val="0"/>
                <w:numId w:val="3"/>
              </w:numPr>
              <w:ind w:leftChars="0"/>
              <w:jc w:val="both"/>
              <w:rPr>
                <w:rFonts w:ascii="標楷體" w:eastAsia="標楷體" w:hAnsi="標楷體"/>
                <w:b/>
              </w:rPr>
            </w:pPr>
            <w:r w:rsidRPr="00E969FC">
              <w:rPr>
                <w:rFonts w:ascii="標楷體" w:eastAsia="標楷體" w:hAnsi="標楷體" w:hint="eastAsia"/>
                <w:b/>
              </w:rPr>
              <w:t>落實三級防制區指定削減污染物排放量制度。</w:t>
            </w:r>
          </w:p>
        </w:tc>
        <w:tc>
          <w:tcPr>
            <w:tcW w:w="7229" w:type="dxa"/>
          </w:tcPr>
          <w:p w14:paraId="2294AB27" w14:textId="77777777" w:rsidR="00D67AF5" w:rsidRPr="00D67AF5" w:rsidRDefault="00D67AF5" w:rsidP="0027559A">
            <w:pPr>
              <w:jc w:val="both"/>
              <w:rPr>
                <w:rFonts w:ascii="標楷體" w:eastAsia="標楷體" w:hAnsi="標楷體"/>
              </w:rPr>
            </w:pPr>
            <w:r w:rsidRPr="00D67AF5">
              <w:rPr>
                <w:rFonts w:ascii="標楷體" w:eastAsia="標楷體" w:hAnsi="標楷體" w:hint="eastAsia"/>
              </w:rPr>
              <w:t>高雄與屏東長期為懸浮微粒及臭氧三級防制區，雖已實施總量管制，但實際減量成效尚待第二期程的</w:t>
            </w:r>
            <w:r w:rsidR="00E969FC">
              <w:rPr>
                <w:rFonts w:ascii="標楷體" w:eastAsia="標楷體" w:hAnsi="標楷體" w:hint="eastAsia"/>
              </w:rPr>
              <w:t>管制。另外，高屏</w:t>
            </w:r>
            <w:r w:rsidR="00E7746C">
              <w:rPr>
                <w:rFonts w:ascii="標楷體" w:eastAsia="標楷體" w:hAnsi="標楷體" w:hint="eastAsia"/>
              </w:rPr>
              <w:t>地區在地理位置上受到中部及雲嘉南等</w:t>
            </w:r>
            <w:proofErr w:type="gramStart"/>
            <w:r w:rsidR="00E7746C">
              <w:rPr>
                <w:rFonts w:ascii="標楷體" w:eastAsia="標楷體" w:hAnsi="標楷體" w:hint="eastAsia"/>
              </w:rPr>
              <w:t>空品區</w:t>
            </w:r>
            <w:proofErr w:type="gramEnd"/>
            <w:r w:rsidR="00E969FC">
              <w:rPr>
                <w:rFonts w:ascii="標楷體" w:eastAsia="標楷體" w:hAnsi="標楷體" w:hint="eastAsia"/>
              </w:rPr>
              <w:t>影響，若鄰近區域的</w:t>
            </w:r>
            <w:proofErr w:type="gramStart"/>
            <w:r w:rsidR="00E969FC">
              <w:rPr>
                <w:rFonts w:ascii="標楷體" w:eastAsia="標楷體" w:hAnsi="標楷體" w:hint="eastAsia"/>
              </w:rPr>
              <w:t>污染源減量</w:t>
            </w:r>
            <w:proofErr w:type="gramEnd"/>
            <w:r w:rsidR="00E969FC">
              <w:rPr>
                <w:rFonts w:ascii="標楷體" w:eastAsia="標楷體" w:hAnsi="標楷體" w:hint="eastAsia"/>
              </w:rPr>
              <w:t>，</w:t>
            </w:r>
            <w:r w:rsidRPr="00D67AF5">
              <w:rPr>
                <w:rFonts w:ascii="標楷體" w:eastAsia="標楷體" w:hAnsi="標楷體" w:hint="eastAsia"/>
              </w:rPr>
              <w:t>加上未來高屏總量管制區內污染</w:t>
            </w:r>
            <w:r w:rsidR="00E969FC">
              <w:rPr>
                <w:rFonts w:ascii="標楷體" w:eastAsia="標楷體" w:hAnsi="標楷體" w:hint="eastAsia"/>
              </w:rPr>
              <w:t>排放量能</w:t>
            </w:r>
            <w:r w:rsidRPr="00D67AF5">
              <w:rPr>
                <w:rFonts w:ascii="標楷體" w:eastAsia="標楷體" w:hAnsi="標楷體" w:hint="eastAsia"/>
              </w:rPr>
              <w:t>實質減量，高屏</w:t>
            </w:r>
            <w:r w:rsidR="00E969FC">
              <w:rPr>
                <w:rFonts w:ascii="標楷體" w:eastAsia="標楷體" w:hAnsi="標楷體" w:hint="eastAsia"/>
              </w:rPr>
              <w:t>地區</w:t>
            </w:r>
            <w:r w:rsidRPr="00D67AF5">
              <w:rPr>
                <w:rFonts w:ascii="標楷體" w:eastAsia="標楷體" w:hAnsi="標楷體" w:hint="eastAsia"/>
              </w:rPr>
              <w:t>才有可能擺脫每年高達半年的污染季，見到藍天。且PM2.5列入防制區劃分之後，三級防制區已倍增，污染</w:t>
            </w:r>
            <w:r w:rsidR="00E969FC">
              <w:rPr>
                <w:rFonts w:ascii="標楷體" w:eastAsia="標楷體" w:hAnsi="標楷體" w:hint="eastAsia"/>
              </w:rPr>
              <w:t>物排放量</w:t>
            </w:r>
            <w:r w:rsidRPr="00D67AF5">
              <w:rPr>
                <w:rFonts w:ascii="標楷體" w:eastAsia="標楷體" w:hAnsi="標楷體" w:hint="eastAsia"/>
              </w:rPr>
              <w:t>削減的迫切性更加顯著，</w:t>
            </w:r>
            <w:r w:rsidR="00460D83">
              <w:rPr>
                <w:rFonts w:ascii="標楷體" w:eastAsia="標楷體" w:hAnsi="標楷體" w:hint="eastAsia"/>
              </w:rPr>
              <w:t>此項修法</w:t>
            </w:r>
            <w:r w:rsidRPr="00D67AF5">
              <w:rPr>
                <w:rFonts w:ascii="標楷體" w:eastAsia="標楷體" w:hAnsi="標楷體" w:hint="eastAsia"/>
              </w:rPr>
              <w:t>更形必要。</w:t>
            </w:r>
          </w:p>
        </w:tc>
        <w:tc>
          <w:tcPr>
            <w:tcW w:w="4111" w:type="dxa"/>
          </w:tcPr>
          <w:p w14:paraId="3C76AC4B" w14:textId="77777777" w:rsidR="00D67AF5" w:rsidRPr="00E969FC" w:rsidRDefault="00901E40" w:rsidP="0027559A">
            <w:pPr>
              <w:jc w:val="both"/>
              <w:rPr>
                <w:rFonts w:ascii="標楷體" w:eastAsia="標楷體" w:hAnsi="標楷體"/>
              </w:rPr>
            </w:pPr>
            <w:r w:rsidRPr="00E969FC">
              <w:rPr>
                <w:rFonts w:ascii="標楷體" w:eastAsia="標楷體" w:hAnsi="標楷體" w:hint="eastAsia"/>
              </w:rPr>
              <w:t>行政院</w:t>
            </w:r>
            <w:r w:rsidR="00E969FC" w:rsidRPr="00E969FC">
              <w:rPr>
                <w:rFonts w:ascii="標楷體" w:eastAsia="標楷體" w:hAnsi="標楷體" w:hint="eastAsia"/>
              </w:rPr>
              <w:t>版草案第6條第4項</w:t>
            </w:r>
            <w:r w:rsidR="00FE469C">
              <w:rPr>
                <w:rFonts w:ascii="標楷體" w:eastAsia="標楷體" w:hAnsi="標楷體" w:hint="eastAsia"/>
              </w:rPr>
              <w:t>。</w:t>
            </w:r>
          </w:p>
        </w:tc>
      </w:tr>
      <w:tr w:rsidR="00E969FC" w:rsidRPr="00D67AF5" w14:paraId="167E9B72" w14:textId="77777777" w:rsidTr="005F2352">
        <w:tc>
          <w:tcPr>
            <w:tcW w:w="3823" w:type="dxa"/>
          </w:tcPr>
          <w:p w14:paraId="6F247304" w14:textId="5FA5145F" w:rsidR="00E969FC" w:rsidRPr="00E969FC" w:rsidRDefault="00E969FC" w:rsidP="00E969FC">
            <w:pPr>
              <w:pStyle w:val="a7"/>
              <w:numPr>
                <w:ilvl w:val="0"/>
                <w:numId w:val="3"/>
              </w:numPr>
              <w:ind w:leftChars="0"/>
              <w:jc w:val="both"/>
              <w:rPr>
                <w:rFonts w:ascii="標楷體" w:eastAsia="標楷體" w:hAnsi="標楷體"/>
                <w:b/>
              </w:rPr>
            </w:pPr>
            <w:r w:rsidRPr="00E969FC">
              <w:rPr>
                <w:rFonts w:ascii="標楷體" w:eastAsia="標楷體" w:hAnsi="標楷體" w:hint="eastAsia"/>
                <w:b/>
              </w:rPr>
              <w:t>落實司改國是會議</w:t>
            </w:r>
            <w:r w:rsidR="00734946">
              <w:rPr>
                <w:rFonts w:ascii="標楷體" w:eastAsia="標楷體" w:hAnsi="標楷體" w:hint="eastAsia"/>
                <w:b/>
              </w:rPr>
              <w:t>有關納入不法利益追繳、增設檢舉獎金及</w:t>
            </w:r>
            <w:proofErr w:type="gramStart"/>
            <w:r w:rsidR="00734946">
              <w:rPr>
                <w:rFonts w:ascii="標楷體" w:eastAsia="標楷體" w:hAnsi="標楷體" w:hint="eastAsia"/>
                <w:b/>
              </w:rPr>
              <w:t>吹哨者</w:t>
            </w:r>
            <w:proofErr w:type="gramEnd"/>
            <w:r w:rsidR="00734946">
              <w:rPr>
                <w:rFonts w:ascii="標楷體" w:eastAsia="標楷體" w:hAnsi="標楷體" w:hint="eastAsia"/>
                <w:b/>
              </w:rPr>
              <w:t>條款等</w:t>
            </w:r>
            <w:r w:rsidRPr="00E969FC">
              <w:rPr>
                <w:rFonts w:ascii="標楷體" w:eastAsia="標楷體" w:hAnsi="標楷體" w:hint="eastAsia"/>
                <w:b/>
              </w:rPr>
              <w:t>修法方向。</w:t>
            </w:r>
          </w:p>
        </w:tc>
        <w:tc>
          <w:tcPr>
            <w:tcW w:w="7229" w:type="dxa"/>
          </w:tcPr>
          <w:p w14:paraId="645D5D48" w14:textId="51EA395D" w:rsidR="00E969FC" w:rsidRDefault="00E969FC" w:rsidP="00D02041">
            <w:pPr>
              <w:jc w:val="both"/>
              <w:rPr>
                <w:rFonts w:ascii="標楷體" w:eastAsia="標楷體" w:hAnsi="標楷體"/>
              </w:rPr>
            </w:pPr>
            <w:r w:rsidRPr="00D67AF5">
              <w:rPr>
                <w:rFonts w:ascii="標楷體" w:eastAsia="標楷體" w:hAnsi="標楷體" w:hint="eastAsia"/>
              </w:rPr>
              <w:t>司改國是會議針對環境法修法提出</w:t>
            </w:r>
            <w:r w:rsidR="00E7746C">
              <w:rPr>
                <w:rFonts w:ascii="標楷體" w:eastAsia="標楷體" w:hAnsi="標楷體" w:hint="eastAsia"/>
              </w:rPr>
              <w:t>污染者不法利益追繳、增設檢舉獎勵金及</w:t>
            </w:r>
            <w:proofErr w:type="gramStart"/>
            <w:r w:rsidRPr="00D67AF5">
              <w:rPr>
                <w:rFonts w:ascii="標楷體" w:eastAsia="標楷體" w:hAnsi="標楷體" w:hint="eastAsia"/>
              </w:rPr>
              <w:t>吹哨者</w:t>
            </w:r>
            <w:proofErr w:type="gramEnd"/>
            <w:r w:rsidRPr="00D67AF5">
              <w:rPr>
                <w:rFonts w:ascii="標楷體" w:eastAsia="標楷體" w:hAnsi="標楷體" w:hint="eastAsia"/>
              </w:rPr>
              <w:t>條款等修法方向。國家</w:t>
            </w:r>
            <w:r w:rsidR="00E7746C">
              <w:rPr>
                <w:rFonts w:ascii="標楷體" w:eastAsia="標楷體" w:hAnsi="標楷體" w:hint="eastAsia"/>
              </w:rPr>
              <w:t>長期以來對於環境污染者處罰成效</w:t>
            </w:r>
            <w:proofErr w:type="gramStart"/>
            <w:r w:rsidR="00E7746C">
              <w:rPr>
                <w:rFonts w:ascii="標楷體" w:eastAsia="標楷體" w:hAnsi="標楷體" w:hint="eastAsia"/>
              </w:rPr>
              <w:t>不</w:t>
            </w:r>
            <w:proofErr w:type="gramEnd"/>
            <w:r w:rsidR="00E7746C">
              <w:rPr>
                <w:rFonts w:ascii="標楷體" w:eastAsia="標楷體" w:hAnsi="標楷體" w:hint="eastAsia"/>
              </w:rPr>
              <w:t>彰，使人民認為國家縱容環境污染行為。</w:t>
            </w:r>
            <w:r w:rsidRPr="00D67AF5">
              <w:rPr>
                <w:rFonts w:ascii="標楷體" w:eastAsia="標楷體" w:hAnsi="標楷體" w:hint="eastAsia"/>
              </w:rPr>
              <w:t>空污修法</w:t>
            </w:r>
            <w:r w:rsidR="00E7746C">
              <w:rPr>
                <w:rFonts w:ascii="標楷體" w:eastAsia="標楷體" w:hAnsi="標楷體" w:hint="eastAsia"/>
              </w:rPr>
              <w:t>應</w:t>
            </w:r>
            <w:r w:rsidR="00D02041">
              <w:rPr>
                <w:rFonts w:ascii="標楷體" w:eastAsia="標楷體" w:hAnsi="標楷體" w:hint="eastAsia"/>
              </w:rPr>
              <w:t>依照國是會議第三分組的決議，嚇阻環境污染或違法行為</w:t>
            </w:r>
            <w:r w:rsidRPr="00D67AF5">
              <w:rPr>
                <w:rFonts w:ascii="標楷體" w:eastAsia="標楷體" w:hAnsi="標楷體" w:hint="eastAsia"/>
              </w:rPr>
              <w:t>。</w:t>
            </w:r>
            <w:r w:rsidR="00E7746C">
              <w:rPr>
                <w:rFonts w:ascii="標楷體" w:eastAsia="標楷體" w:hAnsi="標楷體" w:hint="eastAsia"/>
              </w:rPr>
              <w:t>為鼓勵知情者能事先或於當下即時舉報，讓執法者能即時有效</w:t>
            </w:r>
            <w:r w:rsidRPr="00D73E8B">
              <w:rPr>
                <w:rFonts w:ascii="標楷體" w:eastAsia="標楷體" w:hAnsi="標楷體" w:hint="eastAsia"/>
              </w:rPr>
              <w:t>收集</w:t>
            </w:r>
            <w:r w:rsidR="00D02041">
              <w:rPr>
                <w:rFonts w:ascii="標楷體" w:eastAsia="標楷體" w:hAnsi="標楷體" w:hint="eastAsia"/>
              </w:rPr>
              <w:t>違法證據，以利事後裁罰，</w:t>
            </w:r>
            <w:r w:rsidR="00E7746C">
              <w:rPr>
                <w:rFonts w:ascii="標楷體" w:eastAsia="標楷體" w:hAnsi="標楷體" w:hint="eastAsia"/>
              </w:rPr>
              <w:t>對於</w:t>
            </w:r>
            <w:proofErr w:type="gramStart"/>
            <w:r w:rsidR="00E7746C">
              <w:rPr>
                <w:rFonts w:ascii="標楷體" w:eastAsia="標楷體" w:hAnsi="標楷體" w:hint="eastAsia"/>
              </w:rPr>
              <w:t>吹哨者</w:t>
            </w:r>
            <w:proofErr w:type="gramEnd"/>
            <w:r w:rsidR="00E7746C">
              <w:rPr>
                <w:rFonts w:ascii="標楷體" w:eastAsia="標楷體" w:hAnsi="標楷體" w:hint="eastAsia"/>
              </w:rPr>
              <w:t>在刑事上可能涉及妨害</w:t>
            </w:r>
            <w:proofErr w:type="gramStart"/>
            <w:r w:rsidR="00E7746C">
              <w:rPr>
                <w:rFonts w:ascii="標楷體" w:eastAsia="標楷體" w:hAnsi="標楷體" w:hint="eastAsia"/>
              </w:rPr>
              <w:t>祕</w:t>
            </w:r>
            <w:proofErr w:type="gramEnd"/>
            <w:r w:rsidR="00E7746C">
              <w:rPr>
                <w:rFonts w:ascii="標楷體" w:eastAsia="標楷體" w:hAnsi="標楷體" w:hint="eastAsia"/>
              </w:rPr>
              <w:t>密</w:t>
            </w:r>
            <w:r w:rsidRPr="00D73E8B">
              <w:rPr>
                <w:rFonts w:ascii="標楷體" w:eastAsia="標楷體" w:hAnsi="標楷體" w:hint="eastAsia"/>
              </w:rPr>
              <w:t>及背信</w:t>
            </w:r>
            <w:r w:rsidR="00E7746C">
              <w:rPr>
                <w:rFonts w:ascii="標楷體" w:eastAsia="標楷體" w:hAnsi="標楷體" w:hint="eastAsia"/>
              </w:rPr>
              <w:t>等罪</w:t>
            </w:r>
            <w:r w:rsidRPr="00D73E8B">
              <w:rPr>
                <w:rFonts w:ascii="標楷體" w:eastAsia="標楷體" w:hAnsi="標楷體" w:hint="eastAsia"/>
              </w:rPr>
              <w:lastRenderedPageBreak/>
              <w:t>予以減免或不予追究</w:t>
            </w:r>
            <w:r w:rsidR="00E7746C">
              <w:rPr>
                <w:rFonts w:ascii="標楷體" w:eastAsia="標楷體" w:hAnsi="標楷體" w:hint="eastAsia"/>
              </w:rPr>
              <w:t>外，相關其可能面臨的損害賠償訴訟或衍生的勞工權益等民事程序，亦</w:t>
            </w:r>
            <w:r w:rsidRPr="00D73E8B">
              <w:rPr>
                <w:rFonts w:ascii="標楷體" w:eastAsia="標楷體" w:hAnsi="標楷體" w:hint="eastAsia"/>
              </w:rPr>
              <w:t>應予以法律扶助，以鼓勵知</w:t>
            </w:r>
            <w:r w:rsidR="00E7746C">
              <w:rPr>
                <w:rFonts w:ascii="標楷體" w:eastAsia="標楷體" w:hAnsi="標楷體" w:hint="eastAsia"/>
              </w:rPr>
              <w:t>情</w:t>
            </w:r>
            <w:r w:rsidRPr="00D73E8B">
              <w:rPr>
                <w:rFonts w:ascii="標楷體" w:eastAsia="標楷體" w:hAnsi="標楷體" w:hint="eastAsia"/>
              </w:rPr>
              <w:t>員工提供相關非法排放訊息。</w:t>
            </w:r>
          </w:p>
        </w:tc>
        <w:tc>
          <w:tcPr>
            <w:tcW w:w="4111" w:type="dxa"/>
          </w:tcPr>
          <w:p w14:paraId="6CD084AC" w14:textId="7B8DC0B4" w:rsidR="00E969FC" w:rsidRPr="00E969FC" w:rsidRDefault="00E7746C" w:rsidP="00E969FC">
            <w:pPr>
              <w:jc w:val="both"/>
              <w:rPr>
                <w:rFonts w:ascii="標楷體" w:eastAsia="標楷體" w:hAnsi="標楷體"/>
              </w:rPr>
            </w:pPr>
            <w:r>
              <w:rPr>
                <w:rFonts w:ascii="標楷體" w:eastAsia="標楷體" w:hAnsi="標楷體" w:hint="eastAsia"/>
              </w:rPr>
              <w:lastRenderedPageBreak/>
              <w:t>行政院</w:t>
            </w:r>
            <w:r w:rsidR="00652233">
              <w:rPr>
                <w:rFonts w:ascii="標楷體" w:eastAsia="標楷體" w:hAnsi="標楷體" w:hint="eastAsia"/>
              </w:rPr>
              <w:t>版</w:t>
            </w:r>
            <w:r>
              <w:rPr>
                <w:rFonts w:ascii="標楷體" w:eastAsia="標楷體" w:hAnsi="標楷體" w:hint="eastAsia"/>
              </w:rPr>
              <w:t>草案第57條、第58至65條、第68條、第69條、第74條、</w:t>
            </w:r>
            <w:r w:rsidR="006C3EB3">
              <w:rPr>
                <w:rFonts w:ascii="標楷體" w:eastAsia="標楷體" w:hAnsi="標楷體" w:hint="eastAsia"/>
              </w:rPr>
              <w:t>第86條、第87條、第94條及第95條。</w:t>
            </w:r>
          </w:p>
        </w:tc>
      </w:tr>
      <w:tr w:rsidR="00E969FC" w:rsidRPr="00D67AF5" w14:paraId="638157EB" w14:textId="77777777" w:rsidTr="005F2352">
        <w:tc>
          <w:tcPr>
            <w:tcW w:w="3823" w:type="dxa"/>
          </w:tcPr>
          <w:p w14:paraId="121E19B1" w14:textId="77777777" w:rsidR="00E969FC" w:rsidRPr="00E969FC" w:rsidRDefault="00E969FC" w:rsidP="00E969FC">
            <w:pPr>
              <w:pStyle w:val="a7"/>
              <w:numPr>
                <w:ilvl w:val="0"/>
                <w:numId w:val="3"/>
              </w:numPr>
              <w:ind w:leftChars="0"/>
              <w:jc w:val="both"/>
              <w:rPr>
                <w:rFonts w:ascii="標楷體" w:eastAsia="標楷體" w:hAnsi="標楷體"/>
                <w:b/>
              </w:rPr>
            </w:pPr>
            <w:r w:rsidRPr="00E969FC">
              <w:rPr>
                <w:rFonts w:ascii="標楷體" w:eastAsia="標楷體" w:hAnsi="標楷體" w:hint="eastAsia"/>
                <w:b/>
              </w:rPr>
              <w:t>加強空污數據資訊公開制度。</w:t>
            </w:r>
          </w:p>
        </w:tc>
        <w:tc>
          <w:tcPr>
            <w:tcW w:w="7229" w:type="dxa"/>
          </w:tcPr>
          <w:p w14:paraId="27CC5466" w14:textId="4BBE923D" w:rsidR="00E969FC" w:rsidRPr="00D67AF5" w:rsidRDefault="00E969FC" w:rsidP="0034585B">
            <w:pPr>
              <w:jc w:val="both"/>
              <w:rPr>
                <w:rFonts w:ascii="標楷體" w:eastAsia="標楷體" w:hAnsi="標楷體"/>
              </w:rPr>
            </w:pPr>
            <w:r w:rsidRPr="00D73E8B">
              <w:rPr>
                <w:rFonts w:ascii="標楷體" w:eastAsia="標楷體" w:hAnsi="標楷體" w:hint="eastAsia"/>
              </w:rPr>
              <w:t>現有</w:t>
            </w:r>
            <w:r w:rsidR="006C3EB3">
              <w:rPr>
                <w:rFonts w:ascii="標楷體" w:eastAsia="標楷體" w:hAnsi="標楷體" w:hint="eastAsia"/>
              </w:rPr>
              <w:t>資訊公開的方向及內容遠遠無法滿足我們對環境資訊的需求，例如鄰近工廠生產內容</w:t>
            </w:r>
            <w:r w:rsidRPr="00D73E8B">
              <w:rPr>
                <w:rFonts w:ascii="標楷體" w:eastAsia="標楷體" w:hAnsi="標楷體" w:hint="eastAsia"/>
              </w:rPr>
              <w:t>，會有什麼</w:t>
            </w:r>
            <w:r w:rsidR="006C3EB3">
              <w:rPr>
                <w:rFonts w:ascii="標楷體" w:eastAsia="標楷體" w:hAnsi="標楷體" w:hint="eastAsia"/>
              </w:rPr>
              <w:t>的</w:t>
            </w:r>
            <w:r w:rsidRPr="00D73E8B">
              <w:rPr>
                <w:rFonts w:ascii="標楷體" w:eastAsia="標楷體" w:hAnsi="標楷體" w:hint="eastAsia"/>
              </w:rPr>
              <w:t>污染物</w:t>
            </w:r>
            <w:r w:rsidR="006C3EB3">
              <w:rPr>
                <w:rFonts w:ascii="標楷體" w:eastAsia="標楷體" w:hAnsi="標楷體" w:hint="eastAsia"/>
              </w:rPr>
              <w:t>，對人體及環境造成什麼危害，以及發生緊急情況時要如何應變，這些非常基本的環境知情權完全沒有落實。現有開放的煙囪資訊都只有即時監測的才開放，但許多</w:t>
            </w:r>
            <w:r w:rsidRPr="00D73E8B">
              <w:rPr>
                <w:rFonts w:ascii="標楷體" w:eastAsia="標楷體" w:hAnsi="標楷體" w:hint="eastAsia"/>
              </w:rPr>
              <w:t>緊鄰住家的煙囪並沒有達到裝設即時監測設備的標準，也就</w:t>
            </w:r>
            <w:r w:rsidR="006C3EB3">
              <w:rPr>
                <w:rFonts w:ascii="標楷體" w:eastAsia="標楷體" w:hAnsi="標楷體" w:hint="eastAsia"/>
              </w:rPr>
              <w:t>是說絕大多數的煙囪因為沒有裝設即時監測就完全沒有公開排放資訊。為落實環境知情權，空污</w:t>
            </w:r>
            <w:r w:rsidRPr="00D73E8B">
              <w:rPr>
                <w:rFonts w:ascii="標楷體" w:eastAsia="標楷體" w:hAnsi="標楷體" w:hint="eastAsia"/>
              </w:rPr>
              <w:t>法應公開列管事業單位的主要污染物、特徵污染物及其排放資訊、緊急應變辦法等相關環境資訊，並應</w:t>
            </w:r>
            <w:r w:rsidR="006C3EB3">
              <w:rPr>
                <w:rFonts w:ascii="標楷體" w:eastAsia="標楷體" w:hAnsi="標楷體" w:hint="eastAsia"/>
              </w:rPr>
              <w:t>考量另外制定</w:t>
            </w:r>
            <w:r w:rsidRPr="00D73E8B">
              <w:rPr>
                <w:rFonts w:ascii="標楷體" w:eastAsia="標楷體" w:hAnsi="標楷體" w:hint="eastAsia"/>
              </w:rPr>
              <w:t>「環境資訊公開法」，維護公眾獲得環境資訊的權利，公開事業單位的環境資訊，以供公眾知情參與監督。</w:t>
            </w:r>
          </w:p>
        </w:tc>
        <w:tc>
          <w:tcPr>
            <w:tcW w:w="4111" w:type="dxa"/>
          </w:tcPr>
          <w:p w14:paraId="64CE9043" w14:textId="6253C12F" w:rsidR="00E969FC" w:rsidRPr="00E969FC" w:rsidRDefault="006C3EB3" w:rsidP="00E969FC">
            <w:pPr>
              <w:jc w:val="both"/>
              <w:rPr>
                <w:rFonts w:ascii="標楷體" w:eastAsia="標楷體" w:hAnsi="標楷體"/>
              </w:rPr>
            </w:pPr>
            <w:r>
              <w:rPr>
                <w:rFonts w:ascii="標楷體" w:eastAsia="標楷體" w:hAnsi="標楷體" w:hint="eastAsia"/>
              </w:rPr>
              <w:t>行政院</w:t>
            </w:r>
            <w:r w:rsidR="00537169">
              <w:rPr>
                <w:rFonts w:ascii="標楷體" w:eastAsia="標楷體" w:hAnsi="標楷體" w:hint="eastAsia"/>
              </w:rPr>
              <w:t>版</w:t>
            </w:r>
            <w:r>
              <w:rPr>
                <w:rFonts w:ascii="標楷體" w:eastAsia="標楷體" w:hAnsi="標楷體" w:hint="eastAsia"/>
              </w:rPr>
              <w:t>草案第15條、第35條及第98條。</w:t>
            </w:r>
          </w:p>
        </w:tc>
      </w:tr>
      <w:tr w:rsidR="00E969FC" w:rsidRPr="00D67AF5" w14:paraId="1F457502" w14:textId="77777777" w:rsidTr="005F2352">
        <w:tc>
          <w:tcPr>
            <w:tcW w:w="3823" w:type="dxa"/>
          </w:tcPr>
          <w:p w14:paraId="7416BCB1" w14:textId="77777777" w:rsidR="00E969FC" w:rsidRPr="00E969FC" w:rsidRDefault="00E969FC" w:rsidP="00E969FC">
            <w:pPr>
              <w:pStyle w:val="a7"/>
              <w:numPr>
                <w:ilvl w:val="0"/>
                <w:numId w:val="3"/>
              </w:numPr>
              <w:ind w:leftChars="0"/>
              <w:jc w:val="both"/>
              <w:rPr>
                <w:rFonts w:ascii="標楷體" w:eastAsia="標楷體" w:hAnsi="標楷體"/>
                <w:b/>
              </w:rPr>
            </w:pPr>
            <w:r w:rsidRPr="00E969FC">
              <w:rPr>
                <w:rFonts w:ascii="標楷體" w:eastAsia="標楷體" w:hAnsi="標楷體" w:hint="eastAsia"/>
                <w:b/>
              </w:rPr>
              <w:t>加強</w:t>
            </w:r>
            <w:r>
              <w:rPr>
                <w:rFonts w:ascii="標楷體" w:eastAsia="標楷體" w:hAnsi="標楷體" w:hint="eastAsia"/>
                <w:b/>
              </w:rPr>
              <w:t>對</w:t>
            </w:r>
            <w:r w:rsidRPr="00E969FC">
              <w:rPr>
                <w:rFonts w:ascii="標楷體" w:eastAsia="標楷體" w:hAnsi="標楷體" w:hint="eastAsia"/>
                <w:b/>
              </w:rPr>
              <w:t>有害空氣污染物排放管控</w:t>
            </w:r>
            <w:r>
              <w:rPr>
                <w:rFonts w:ascii="標楷體" w:eastAsia="標楷體" w:hAnsi="標楷體" w:hint="eastAsia"/>
                <w:b/>
              </w:rPr>
              <w:t>監測機制</w:t>
            </w:r>
            <w:r w:rsidRPr="00E969FC">
              <w:rPr>
                <w:rFonts w:ascii="標楷體" w:eastAsia="標楷體" w:hAnsi="標楷體" w:hint="eastAsia"/>
                <w:b/>
              </w:rPr>
              <w:t>。</w:t>
            </w:r>
          </w:p>
        </w:tc>
        <w:tc>
          <w:tcPr>
            <w:tcW w:w="7229" w:type="dxa"/>
          </w:tcPr>
          <w:p w14:paraId="2751C8D7" w14:textId="77777777" w:rsidR="00E969FC" w:rsidRPr="00D73E8B" w:rsidRDefault="00E969FC" w:rsidP="00E969FC">
            <w:pPr>
              <w:jc w:val="both"/>
              <w:rPr>
                <w:rFonts w:ascii="標楷體" w:eastAsia="標楷體" w:hAnsi="標楷體"/>
              </w:rPr>
            </w:pPr>
            <w:r w:rsidRPr="00D73E8B">
              <w:rPr>
                <w:rFonts w:ascii="標楷體" w:eastAsia="標楷體" w:hAnsi="標楷體" w:hint="eastAsia"/>
              </w:rPr>
              <w:t>有害空氣污染物（HAPs）對人體有致癌、致突變等危害，無論是電廠、鋼鐵廠的下風處，或是石化廠的附近，中南部民眾受到有害空氣污染物的影響至</w:t>
            </w:r>
            <w:proofErr w:type="gramStart"/>
            <w:r w:rsidRPr="00D73E8B">
              <w:rPr>
                <w:rFonts w:ascii="標楷體" w:eastAsia="標楷體" w:hAnsi="標楷體" w:hint="eastAsia"/>
              </w:rPr>
              <w:t>鉅</w:t>
            </w:r>
            <w:proofErr w:type="gramEnd"/>
            <w:r w:rsidRPr="00D73E8B">
              <w:rPr>
                <w:rFonts w:ascii="標楷體" w:eastAsia="標楷體" w:hAnsi="標楷體" w:hint="eastAsia"/>
              </w:rPr>
              <w:t>。現行法規尚未對有害空氣污染物明確定義，管制也十分鬆散，應藉由此次修法儘速制定有</w:t>
            </w:r>
            <w:r w:rsidR="006C3EB3">
              <w:rPr>
                <w:rFonts w:ascii="標楷體" w:eastAsia="標楷體" w:hAnsi="標楷體" w:hint="eastAsia"/>
              </w:rPr>
              <w:t>害空氣污染物管制標準以及相關管制及監測辦法，</w:t>
            </w:r>
            <w:r w:rsidRPr="00D73E8B">
              <w:rPr>
                <w:rFonts w:ascii="標楷體" w:eastAsia="標楷體" w:hAnsi="標楷體" w:hint="eastAsia"/>
              </w:rPr>
              <w:t>加嚴管制。</w:t>
            </w:r>
          </w:p>
        </w:tc>
        <w:tc>
          <w:tcPr>
            <w:tcW w:w="4111" w:type="dxa"/>
          </w:tcPr>
          <w:p w14:paraId="0792A15F" w14:textId="77777777" w:rsidR="00E969FC" w:rsidRPr="00E969FC" w:rsidRDefault="00F93D70" w:rsidP="00E969FC">
            <w:pPr>
              <w:jc w:val="both"/>
              <w:rPr>
                <w:rFonts w:ascii="標楷體" w:eastAsia="標楷體" w:hAnsi="標楷體"/>
              </w:rPr>
            </w:pPr>
            <w:r w:rsidRPr="00E969FC">
              <w:rPr>
                <w:rFonts w:ascii="標楷體" w:eastAsia="標楷體" w:hAnsi="標楷體" w:hint="eastAsia"/>
              </w:rPr>
              <w:t>行政院版草案第</w:t>
            </w:r>
            <w:r w:rsidR="00BE279D">
              <w:rPr>
                <w:rFonts w:ascii="標楷體" w:eastAsia="標楷體" w:hAnsi="標楷體" w:hint="eastAsia"/>
              </w:rPr>
              <w:t>20</w:t>
            </w:r>
            <w:r w:rsidRPr="00E969FC">
              <w:rPr>
                <w:rFonts w:ascii="標楷體" w:eastAsia="標楷體" w:hAnsi="標楷體" w:hint="eastAsia"/>
              </w:rPr>
              <w:t>條第</w:t>
            </w:r>
            <w:r w:rsidR="00BE279D">
              <w:rPr>
                <w:rFonts w:ascii="標楷體" w:eastAsia="標楷體" w:hAnsi="標楷體" w:hint="eastAsia"/>
              </w:rPr>
              <w:t>3</w:t>
            </w:r>
            <w:r w:rsidRPr="00E969FC">
              <w:rPr>
                <w:rFonts w:ascii="標楷體" w:eastAsia="標楷體" w:hAnsi="標楷體" w:hint="eastAsia"/>
              </w:rPr>
              <w:t>項</w:t>
            </w:r>
            <w:r w:rsidR="00BE279D">
              <w:rPr>
                <w:rFonts w:ascii="標楷體" w:eastAsia="標楷體" w:hAnsi="標楷體" w:hint="eastAsia"/>
              </w:rPr>
              <w:t>及第4項</w:t>
            </w:r>
            <w:r>
              <w:rPr>
                <w:rFonts w:ascii="標楷體" w:eastAsia="標楷體" w:hAnsi="標楷體" w:hint="eastAsia"/>
              </w:rPr>
              <w:t>。</w:t>
            </w:r>
          </w:p>
        </w:tc>
      </w:tr>
      <w:tr w:rsidR="00E969FC" w:rsidRPr="00D67AF5" w14:paraId="323618CF" w14:textId="77777777" w:rsidTr="005F2352">
        <w:tc>
          <w:tcPr>
            <w:tcW w:w="3823" w:type="dxa"/>
          </w:tcPr>
          <w:p w14:paraId="46A689BE" w14:textId="77777777" w:rsidR="00E969FC" w:rsidRPr="00E969FC" w:rsidRDefault="00E969FC" w:rsidP="00E969FC">
            <w:pPr>
              <w:pStyle w:val="a7"/>
              <w:numPr>
                <w:ilvl w:val="0"/>
                <w:numId w:val="3"/>
              </w:numPr>
              <w:ind w:leftChars="0"/>
              <w:jc w:val="both"/>
              <w:rPr>
                <w:rFonts w:ascii="標楷體" w:eastAsia="標楷體" w:hAnsi="標楷體"/>
                <w:b/>
              </w:rPr>
            </w:pPr>
            <w:r>
              <w:rPr>
                <w:rFonts w:ascii="標楷體" w:eastAsia="標楷體" w:hAnsi="標楷體" w:hint="eastAsia"/>
                <w:b/>
              </w:rPr>
              <w:t>加強對特殊性工業的空氣污染管制。</w:t>
            </w:r>
          </w:p>
        </w:tc>
        <w:tc>
          <w:tcPr>
            <w:tcW w:w="7229" w:type="dxa"/>
          </w:tcPr>
          <w:p w14:paraId="7DFF2AD1" w14:textId="77777777" w:rsidR="00E969FC" w:rsidRPr="00D73E8B" w:rsidRDefault="00460D83" w:rsidP="00E969FC">
            <w:pPr>
              <w:jc w:val="both"/>
              <w:rPr>
                <w:rFonts w:ascii="標楷體" w:eastAsia="標楷體" w:hAnsi="標楷體"/>
              </w:rPr>
            </w:pPr>
            <w:r>
              <w:rPr>
                <w:rFonts w:ascii="標楷體" w:eastAsia="標楷體" w:hAnsi="標楷體" w:hint="eastAsia"/>
              </w:rPr>
              <w:t>現行空污法第15條對於開發特殊性工業區應</w:t>
            </w:r>
            <w:proofErr w:type="gramStart"/>
            <w:r>
              <w:rPr>
                <w:rFonts w:ascii="標楷體" w:eastAsia="標楷體" w:hAnsi="標楷體" w:hint="eastAsia"/>
              </w:rPr>
              <w:t>於區界四周</w:t>
            </w:r>
            <w:proofErr w:type="gramEnd"/>
            <w:r>
              <w:rPr>
                <w:rFonts w:ascii="標楷體" w:eastAsia="標楷體" w:hAnsi="標楷體" w:hint="eastAsia"/>
              </w:rPr>
              <w:t>或適當地區分別規劃設置緩衝地帶及空氣品質監測設施，並制定</w:t>
            </w:r>
            <w:r w:rsidR="00BE279D">
              <w:rPr>
                <w:rFonts w:ascii="標楷體" w:eastAsia="標楷體" w:hAnsi="標楷體" w:hint="eastAsia"/>
              </w:rPr>
              <w:t>「</w:t>
            </w:r>
            <w:r>
              <w:rPr>
                <w:rFonts w:ascii="標楷體" w:eastAsia="標楷體" w:hAnsi="標楷體" w:hint="eastAsia"/>
              </w:rPr>
              <w:t>特殊性工業區緩衝地帶及空氣品質監測設施設置標準</w:t>
            </w:r>
            <w:r w:rsidR="00BE279D">
              <w:rPr>
                <w:rFonts w:ascii="標楷體" w:eastAsia="標楷體" w:hAnsi="標楷體" w:hint="eastAsia"/>
              </w:rPr>
              <w:t>」。</w:t>
            </w:r>
            <w:proofErr w:type="gramStart"/>
            <w:r w:rsidR="00BE279D">
              <w:rPr>
                <w:rFonts w:ascii="標楷體" w:eastAsia="標楷體" w:hAnsi="標楷體" w:hint="eastAsia"/>
              </w:rPr>
              <w:t>惟</w:t>
            </w:r>
            <w:proofErr w:type="gramEnd"/>
            <w:r>
              <w:rPr>
                <w:rFonts w:ascii="標楷體" w:eastAsia="標楷體" w:hAnsi="標楷體" w:hint="eastAsia"/>
              </w:rPr>
              <w:t>依</w:t>
            </w:r>
            <w:r w:rsidR="00BE279D">
              <w:rPr>
                <w:rFonts w:ascii="標楷體" w:eastAsia="標楷體" w:hAnsi="標楷體" w:hint="eastAsia"/>
              </w:rPr>
              <w:t>據</w:t>
            </w:r>
            <w:r>
              <w:rPr>
                <w:rFonts w:ascii="標楷體" w:eastAsia="標楷體" w:hAnsi="標楷體" w:hint="eastAsia"/>
              </w:rPr>
              <w:t>設置標準</w:t>
            </w:r>
            <w:r w:rsidR="00BE279D">
              <w:rPr>
                <w:rFonts w:ascii="標楷體" w:eastAsia="標楷體" w:hAnsi="標楷體" w:hint="eastAsia"/>
              </w:rPr>
              <w:t>所謂「特殊性工業區」</w:t>
            </w:r>
            <w:r>
              <w:rPr>
                <w:rFonts w:ascii="標楷體" w:eastAsia="標楷體" w:hAnsi="標楷體" w:hint="eastAsia"/>
              </w:rPr>
              <w:t>係指工業區內，容納有「特殊性工業」如金屬冶煉、煉油、石化、紙漿、水泥、電力、光電或半導體產業等，且其合計基地面積超過總基地面積四分之一者方屬之。但國內部分「特殊性工業」並無位於「工業區」內，且</w:t>
            </w:r>
            <w:r w:rsidR="00BE279D">
              <w:rPr>
                <w:rFonts w:ascii="標楷體" w:eastAsia="標楷體" w:hAnsi="標楷體" w:hint="eastAsia"/>
              </w:rPr>
              <w:t>緊鄰</w:t>
            </w:r>
            <w:r>
              <w:rPr>
                <w:rFonts w:ascii="標楷體" w:eastAsia="標楷體" w:hAnsi="標楷體" w:hint="eastAsia"/>
              </w:rPr>
              <w:t>人民居住社區，卻未</w:t>
            </w:r>
            <w:proofErr w:type="gramStart"/>
            <w:r>
              <w:rPr>
                <w:rFonts w:ascii="標楷體" w:eastAsia="標楷體" w:hAnsi="標楷體" w:hint="eastAsia"/>
              </w:rPr>
              <w:t>有空污</w:t>
            </w:r>
            <w:proofErr w:type="gramEnd"/>
            <w:r>
              <w:rPr>
                <w:rFonts w:ascii="標楷體" w:eastAsia="標楷體" w:hAnsi="標楷體" w:hint="eastAsia"/>
              </w:rPr>
              <w:lastRenderedPageBreak/>
              <w:t>法第15條</w:t>
            </w:r>
            <w:r w:rsidR="00BE279D">
              <w:rPr>
                <w:rFonts w:ascii="標楷體" w:eastAsia="標楷體" w:hAnsi="標楷體" w:hint="eastAsia"/>
              </w:rPr>
              <w:t>規定</w:t>
            </w:r>
            <w:r>
              <w:rPr>
                <w:rFonts w:ascii="標楷體" w:eastAsia="標楷體" w:hAnsi="標楷體" w:hint="eastAsia"/>
              </w:rPr>
              <w:t>之適用。建議就特殊性工業開發者</w:t>
            </w:r>
            <w:r w:rsidR="00F93D70">
              <w:rPr>
                <w:rFonts w:ascii="標楷體" w:eastAsia="標楷體" w:hAnsi="標楷體" w:hint="eastAsia"/>
              </w:rPr>
              <w:t>亦應要求設置緩衝地帶及</w:t>
            </w:r>
            <w:r>
              <w:rPr>
                <w:rFonts w:ascii="標楷體" w:eastAsia="標楷體" w:hAnsi="標楷體" w:hint="eastAsia"/>
              </w:rPr>
              <w:t>必要</w:t>
            </w:r>
            <w:r w:rsidR="00F93D70">
              <w:rPr>
                <w:rFonts w:ascii="標楷體" w:eastAsia="標楷體" w:hAnsi="標楷體" w:hint="eastAsia"/>
              </w:rPr>
              <w:t>之污染監測措施。</w:t>
            </w:r>
          </w:p>
        </w:tc>
        <w:tc>
          <w:tcPr>
            <w:tcW w:w="4111" w:type="dxa"/>
          </w:tcPr>
          <w:p w14:paraId="411A8A3D" w14:textId="77777777" w:rsidR="00E969FC" w:rsidRPr="00E969FC" w:rsidRDefault="00F93D70" w:rsidP="00E969FC">
            <w:pPr>
              <w:jc w:val="both"/>
              <w:rPr>
                <w:rFonts w:ascii="標楷體" w:eastAsia="標楷體" w:hAnsi="標楷體"/>
              </w:rPr>
            </w:pPr>
            <w:r w:rsidRPr="00E969FC">
              <w:rPr>
                <w:rFonts w:ascii="標楷體" w:eastAsia="標楷體" w:hAnsi="標楷體" w:hint="eastAsia"/>
              </w:rPr>
              <w:lastRenderedPageBreak/>
              <w:t>行政院版草案第</w:t>
            </w:r>
            <w:r>
              <w:rPr>
                <w:rFonts w:ascii="標楷體" w:eastAsia="標楷體" w:hAnsi="標楷體" w:hint="eastAsia"/>
              </w:rPr>
              <w:t>15條。</w:t>
            </w:r>
          </w:p>
        </w:tc>
      </w:tr>
      <w:tr w:rsidR="00E969FC" w:rsidRPr="00D67AF5" w14:paraId="6913AB46" w14:textId="77777777" w:rsidTr="005F2352">
        <w:tc>
          <w:tcPr>
            <w:tcW w:w="3823" w:type="dxa"/>
          </w:tcPr>
          <w:p w14:paraId="60627E16" w14:textId="77777777" w:rsidR="00E969FC" w:rsidRDefault="00E969FC" w:rsidP="00E969FC">
            <w:pPr>
              <w:pStyle w:val="a7"/>
              <w:numPr>
                <w:ilvl w:val="0"/>
                <w:numId w:val="3"/>
              </w:numPr>
              <w:ind w:leftChars="0"/>
              <w:jc w:val="both"/>
              <w:rPr>
                <w:rFonts w:ascii="標楷體" w:eastAsia="標楷體" w:hAnsi="標楷體"/>
                <w:b/>
              </w:rPr>
            </w:pPr>
            <w:r>
              <w:rPr>
                <w:rFonts w:ascii="標楷體" w:eastAsia="標楷體" w:hAnsi="標楷體" w:hint="eastAsia"/>
                <w:b/>
              </w:rPr>
              <w:t>加強突發重大事故時的地方通報與即時應變機制。</w:t>
            </w:r>
          </w:p>
        </w:tc>
        <w:tc>
          <w:tcPr>
            <w:tcW w:w="7229" w:type="dxa"/>
          </w:tcPr>
          <w:p w14:paraId="3D8BF75F" w14:textId="395845A0" w:rsidR="00E969FC" w:rsidRPr="0034585B" w:rsidRDefault="0090575B" w:rsidP="00E969FC">
            <w:pPr>
              <w:jc w:val="both"/>
              <w:rPr>
                <w:rFonts w:ascii="標楷體" w:eastAsia="標楷體" w:hAnsi="標楷體"/>
              </w:rPr>
            </w:pPr>
            <w:r>
              <w:rPr>
                <w:rFonts w:ascii="標楷體" w:eastAsia="標楷體" w:hAnsi="標楷體" w:hint="eastAsia"/>
              </w:rPr>
              <w:t>為落實在地社區環境知情權，對於緊急空氣品質嚴重惡化或固定污染源之突發重大事故等，應建立完善之通報及即時應變機制，各級主管機關應有多元彈性的應變措施以因應各種空氣品質惡化的情形。</w:t>
            </w:r>
          </w:p>
        </w:tc>
        <w:tc>
          <w:tcPr>
            <w:tcW w:w="4111" w:type="dxa"/>
          </w:tcPr>
          <w:p w14:paraId="3D9DC823" w14:textId="39017AE4" w:rsidR="00E969FC" w:rsidRPr="00E969FC" w:rsidRDefault="0090575B" w:rsidP="00E969FC">
            <w:pPr>
              <w:jc w:val="both"/>
              <w:rPr>
                <w:rFonts w:ascii="標楷體" w:eastAsia="標楷體" w:hAnsi="標楷體"/>
              </w:rPr>
            </w:pPr>
            <w:r>
              <w:rPr>
                <w:rFonts w:ascii="標楷體" w:eastAsia="標楷體" w:hAnsi="標楷體" w:hint="eastAsia"/>
              </w:rPr>
              <w:t>行政院版草案第14條</w:t>
            </w:r>
          </w:p>
        </w:tc>
      </w:tr>
      <w:tr w:rsidR="00E969FC" w:rsidRPr="00D67AF5" w14:paraId="2A3EB7D6" w14:textId="77777777" w:rsidTr="005F2352">
        <w:tc>
          <w:tcPr>
            <w:tcW w:w="3823" w:type="dxa"/>
          </w:tcPr>
          <w:p w14:paraId="329E7DFD" w14:textId="77777777" w:rsidR="00E969FC" w:rsidRPr="00E969FC" w:rsidRDefault="00E969FC" w:rsidP="00E969FC">
            <w:pPr>
              <w:pStyle w:val="a7"/>
              <w:numPr>
                <w:ilvl w:val="0"/>
                <w:numId w:val="3"/>
              </w:numPr>
              <w:ind w:leftChars="0"/>
              <w:jc w:val="both"/>
              <w:rPr>
                <w:rFonts w:ascii="標楷體" w:eastAsia="標楷體" w:hAnsi="標楷體"/>
                <w:b/>
              </w:rPr>
            </w:pPr>
            <w:r w:rsidRPr="00E969FC">
              <w:rPr>
                <w:rFonts w:ascii="標楷體" w:eastAsia="標楷體" w:hAnsi="標楷體" w:hint="eastAsia"/>
                <w:b/>
              </w:rPr>
              <w:t>加強使用燃料與易致空氣污染物質管制。</w:t>
            </w:r>
          </w:p>
        </w:tc>
        <w:tc>
          <w:tcPr>
            <w:tcW w:w="7229" w:type="dxa"/>
          </w:tcPr>
          <w:p w14:paraId="0554196C" w14:textId="77777777" w:rsidR="00E969FC" w:rsidRPr="00D73E8B" w:rsidRDefault="00BE279D" w:rsidP="00E969FC">
            <w:pPr>
              <w:jc w:val="both"/>
              <w:rPr>
                <w:rFonts w:ascii="標楷體" w:eastAsia="標楷體" w:hAnsi="標楷體"/>
              </w:rPr>
            </w:pPr>
            <w:r>
              <w:rPr>
                <w:rFonts w:ascii="標楷體" w:eastAsia="標楷體" w:hAnsi="標楷體" w:hint="eastAsia"/>
              </w:rPr>
              <w:t>環保署為環境保護之</w:t>
            </w:r>
            <w:r w:rsidR="00E969FC">
              <w:rPr>
                <w:rFonts w:ascii="標楷體" w:eastAsia="標楷體" w:hAnsi="標楷體" w:hint="eastAsia"/>
              </w:rPr>
              <w:t>主管機關，除針對污染</w:t>
            </w:r>
            <w:r>
              <w:rPr>
                <w:rFonts w:ascii="標楷體" w:eastAsia="標楷體" w:hAnsi="標楷體" w:hint="eastAsia"/>
              </w:rPr>
              <w:t>源排放污染物標準之末端管控外，對於污染源使用燃料之源頭控管、</w:t>
            </w:r>
            <w:r w:rsidR="00E969FC">
              <w:rPr>
                <w:rFonts w:ascii="標楷體" w:eastAsia="標楷體" w:hAnsi="標楷體" w:hint="eastAsia"/>
              </w:rPr>
              <w:t>使用燃料品質以及特定成分混燒比例之一定標準，自有加以規範管理之必要</w:t>
            </w:r>
            <w:r>
              <w:rPr>
                <w:rFonts w:ascii="標楷體" w:eastAsia="標楷體" w:hAnsi="標楷體" w:hint="eastAsia"/>
              </w:rPr>
              <w:t>及權限</w:t>
            </w:r>
            <w:r w:rsidR="00E969FC">
              <w:rPr>
                <w:rFonts w:ascii="標楷體" w:eastAsia="標楷體" w:hAnsi="標楷體" w:hint="eastAsia"/>
              </w:rPr>
              <w:t>。</w:t>
            </w:r>
          </w:p>
        </w:tc>
        <w:tc>
          <w:tcPr>
            <w:tcW w:w="4111" w:type="dxa"/>
          </w:tcPr>
          <w:p w14:paraId="065FF4CB" w14:textId="77777777" w:rsidR="00E969FC" w:rsidRPr="00BE279D" w:rsidRDefault="00BE279D" w:rsidP="00E969FC">
            <w:pPr>
              <w:jc w:val="both"/>
              <w:rPr>
                <w:rFonts w:ascii="標楷體" w:eastAsia="標楷體" w:hAnsi="標楷體"/>
              </w:rPr>
            </w:pPr>
            <w:r>
              <w:rPr>
                <w:rFonts w:ascii="標楷體" w:eastAsia="標楷體" w:hAnsi="標楷體" w:hint="eastAsia"/>
              </w:rPr>
              <w:t>行政院版草案第28條、第29條。</w:t>
            </w:r>
          </w:p>
        </w:tc>
      </w:tr>
      <w:tr w:rsidR="00E969FC" w:rsidRPr="00D67AF5" w14:paraId="4A3DBF25" w14:textId="77777777" w:rsidTr="005F2352">
        <w:tc>
          <w:tcPr>
            <w:tcW w:w="3823" w:type="dxa"/>
          </w:tcPr>
          <w:p w14:paraId="431F4709" w14:textId="7B04B6E8" w:rsidR="00E969FC" w:rsidRPr="00E969FC" w:rsidRDefault="00E969FC" w:rsidP="00D02041">
            <w:pPr>
              <w:pStyle w:val="a7"/>
              <w:numPr>
                <w:ilvl w:val="0"/>
                <w:numId w:val="3"/>
              </w:numPr>
              <w:ind w:leftChars="0"/>
              <w:jc w:val="both"/>
              <w:rPr>
                <w:rFonts w:ascii="標楷體" w:eastAsia="標楷體" w:hAnsi="標楷體"/>
                <w:b/>
              </w:rPr>
            </w:pPr>
            <w:r>
              <w:rPr>
                <w:rFonts w:ascii="標楷體" w:eastAsia="標楷體" w:hAnsi="標楷體" w:hint="eastAsia"/>
                <w:b/>
              </w:rPr>
              <w:t>空污費使用應納入</w:t>
            </w:r>
            <w:r w:rsidR="00D02041">
              <w:rPr>
                <w:rFonts w:ascii="標楷體" w:eastAsia="標楷體" w:hAnsi="標楷體" w:hint="eastAsia"/>
                <w:b/>
              </w:rPr>
              <w:t>環境權益保障，建立法律扶助制度</w:t>
            </w:r>
            <w:r>
              <w:rPr>
                <w:rFonts w:ascii="標楷體" w:eastAsia="標楷體" w:hAnsi="標楷體" w:hint="eastAsia"/>
                <w:b/>
              </w:rPr>
              <w:t>。</w:t>
            </w:r>
          </w:p>
        </w:tc>
        <w:tc>
          <w:tcPr>
            <w:tcW w:w="7229" w:type="dxa"/>
          </w:tcPr>
          <w:p w14:paraId="21F50A40" w14:textId="1FB0EDD9" w:rsidR="00E969FC" w:rsidRDefault="00D02041" w:rsidP="00640F2D">
            <w:pPr>
              <w:jc w:val="both"/>
              <w:rPr>
                <w:rFonts w:ascii="標楷體" w:eastAsia="標楷體" w:hAnsi="標楷體"/>
              </w:rPr>
            </w:pPr>
            <w:r>
              <w:rPr>
                <w:rFonts w:ascii="標楷體" w:eastAsia="標楷體" w:hAnsi="標楷體" w:hint="eastAsia"/>
              </w:rPr>
              <w:t>空污費用應增加環境權益之法律扶助</w:t>
            </w:r>
            <w:r w:rsidR="00611831">
              <w:rPr>
                <w:rFonts w:ascii="標楷體" w:eastAsia="標楷體" w:hAnsi="標楷體" w:hint="eastAsia"/>
              </w:rPr>
              <w:t>，提供律師及訴訟費用如裁判費及鑑定費用之補助</w:t>
            </w:r>
            <w:r>
              <w:rPr>
                <w:rFonts w:ascii="標楷體" w:eastAsia="標楷體" w:hAnsi="標楷體" w:hint="eastAsia"/>
              </w:rPr>
              <w:t>。</w:t>
            </w:r>
            <w:r w:rsidR="00640F2D">
              <w:rPr>
                <w:rFonts w:ascii="標楷體" w:eastAsia="標楷體" w:hAnsi="標楷體" w:hint="eastAsia"/>
              </w:rPr>
              <w:t>除了</w:t>
            </w:r>
            <w:proofErr w:type="gramStart"/>
            <w:r>
              <w:rPr>
                <w:rFonts w:ascii="標楷體" w:eastAsia="標楷體" w:hAnsi="標楷體" w:hint="eastAsia"/>
              </w:rPr>
              <w:t>讓吹哨者有</w:t>
            </w:r>
            <w:r w:rsidR="00640F2D">
              <w:rPr>
                <w:rFonts w:ascii="標楷體" w:eastAsia="標楷體" w:hAnsi="標楷體" w:hint="eastAsia"/>
              </w:rPr>
              <w:t>法扶</w:t>
            </w:r>
            <w:proofErr w:type="gramEnd"/>
            <w:r>
              <w:rPr>
                <w:rFonts w:ascii="標楷體" w:eastAsia="標楷體" w:hAnsi="標楷體" w:hint="eastAsia"/>
              </w:rPr>
              <w:t>制度保障面對可能的刑事或民事訴訟。</w:t>
            </w:r>
            <w:r w:rsidR="00640F2D">
              <w:rPr>
                <w:rFonts w:ascii="標楷體" w:eastAsia="標楷體" w:hAnsi="標楷體" w:hint="eastAsia"/>
              </w:rPr>
              <w:t>另受空污公害影響健康</w:t>
            </w:r>
            <w:r>
              <w:rPr>
                <w:rFonts w:ascii="標楷體" w:eastAsia="標楷體" w:hAnsi="標楷體" w:hint="eastAsia"/>
              </w:rPr>
              <w:t>之利害關係人，</w:t>
            </w:r>
            <w:r w:rsidR="00640F2D">
              <w:rPr>
                <w:rFonts w:ascii="標楷體" w:eastAsia="標楷體" w:hAnsi="標楷體" w:hint="eastAsia"/>
              </w:rPr>
              <w:t>也能</w:t>
            </w:r>
            <w:r w:rsidR="00611831">
              <w:rPr>
                <w:rFonts w:ascii="標楷體" w:eastAsia="標楷體" w:hAnsi="標楷體" w:hint="eastAsia"/>
              </w:rPr>
              <w:t>提起司法救濟，爭取相關環境權益</w:t>
            </w:r>
            <w:r w:rsidR="0090575B">
              <w:rPr>
                <w:rFonts w:ascii="標楷體" w:eastAsia="標楷體" w:hAnsi="標楷體" w:hint="eastAsia"/>
              </w:rPr>
              <w:t>。</w:t>
            </w:r>
          </w:p>
        </w:tc>
        <w:tc>
          <w:tcPr>
            <w:tcW w:w="4111" w:type="dxa"/>
          </w:tcPr>
          <w:p w14:paraId="5096F4E4" w14:textId="77777777" w:rsidR="00E969FC" w:rsidRPr="00E969FC" w:rsidRDefault="00C21201" w:rsidP="00E969FC">
            <w:pPr>
              <w:jc w:val="both"/>
              <w:rPr>
                <w:rFonts w:ascii="標楷體" w:eastAsia="標楷體" w:hAnsi="標楷體"/>
              </w:rPr>
            </w:pPr>
            <w:r>
              <w:rPr>
                <w:rFonts w:ascii="標楷體" w:eastAsia="標楷體" w:hAnsi="標楷體" w:hint="eastAsia"/>
              </w:rPr>
              <w:t>行政院版草案第18條。</w:t>
            </w:r>
          </w:p>
        </w:tc>
      </w:tr>
      <w:tr w:rsidR="00E969FC" w:rsidRPr="00D67AF5" w14:paraId="42E43201" w14:textId="77777777" w:rsidTr="005F2352">
        <w:tc>
          <w:tcPr>
            <w:tcW w:w="3823" w:type="dxa"/>
          </w:tcPr>
          <w:p w14:paraId="3DDAD2FF" w14:textId="32678D02" w:rsidR="00E969FC" w:rsidRPr="00E969FC" w:rsidRDefault="00734946" w:rsidP="00E969FC">
            <w:pPr>
              <w:pStyle w:val="a7"/>
              <w:numPr>
                <w:ilvl w:val="0"/>
                <w:numId w:val="3"/>
              </w:numPr>
              <w:ind w:leftChars="0"/>
              <w:jc w:val="both"/>
              <w:rPr>
                <w:rFonts w:ascii="標楷體" w:eastAsia="標楷體" w:hAnsi="標楷體"/>
                <w:b/>
              </w:rPr>
            </w:pPr>
            <w:r>
              <w:rPr>
                <w:rFonts w:ascii="標楷體" w:eastAsia="標楷體" w:hAnsi="標楷體" w:hint="eastAsia"/>
                <w:b/>
              </w:rPr>
              <w:t>加強許可證管制機制，</w:t>
            </w:r>
            <w:r w:rsidR="00E969FC" w:rsidRPr="00E969FC">
              <w:rPr>
                <w:rFonts w:ascii="標楷體" w:eastAsia="標楷體" w:hAnsi="標楷體" w:hint="eastAsia"/>
                <w:b/>
              </w:rPr>
              <w:t>反對因主管機關審核逾期，展延許可證有效期間之立法。</w:t>
            </w:r>
          </w:p>
        </w:tc>
        <w:tc>
          <w:tcPr>
            <w:tcW w:w="7229" w:type="dxa"/>
          </w:tcPr>
          <w:p w14:paraId="0EDD5156" w14:textId="77777777" w:rsidR="00E969FC" w:rsidRPr="00BE279D" w:rsidRDefault="00BE279D" w:rsidP="00E969FC">
            <w:pPr>
              <w:jc w:val="both"/>
              <w:rPr>
                <w:rFonts w:ascii="標楷體" w:eastAsia="標楷體" w:hAnsi="標楷體"/>
                <w:szCs w:val="24"/>
              </w:rPr>
            </w:pPr>
            <w:r>
              <w:rPr>
                <w:rFonts w:ascii="標楷體" w:eastAsia="標楷體" w:hAnsi="標楷體" w:hint="eastAsia"/>
                <w:szCs w:val="24"/>
              </w:rPr>
              <w:t>行政院版草案第30條第3項修正，針對公私場所固定污染源依空污法申請之許可證展延，如地方主管機關於許可證期限屆滿時仍未完成審查，固定污染源仍得於審查完成前，繼續依許可證設置、操作或使用。使得地方主管機關可能因</w:t>
            </w:r>
            <w:proofErr w:type="gramStart"/>
            <w:r>
              <w:rPr>
                <w:rFonts w:ascii="標楷體" w:eastAsia="標楷體" w:hAnsi="標楷體" w:hint="eastAsia"/>
                <w:szCs w:val="24"/>
              </w:rPr>
              <w:t>怠</w:t>
            </w:r>
            <w:proofErr w:type="gramEnd"/>
            <w:r>
              <w:rPr>
                <w:rFonts w:ascii="標楷體" w:eastAsia="標楷體" w:hAnsi="標楷體" w:hint="eastAsia"/>
                <w:szCs w:val="24"/>
              </w:rPr>
              <w:t>於審查或利用技術性拖延，變相使若干有管制爭議的許可證於期限屆滿後仍持續有效、生實質展延許可證期限之效果，存有人為操作之空間，並非妥善建議刪除，並檢討現行許可證展延合理之審查期限及程序，提早進行許可證審查之程序。</w:t>
            </w:r>
          </w:p>
        </w:tc>
        <w:tc>
          <w:tcPr>
            <w:tcW w:w="4111" w:type="dxa"/>
          </w:tcPr>
          <w:p w14:paraId="5B861BC5" w14:textId="77777777" w:rsidR="00E969FC" w:rsidRPr="00E969FC" w:rsidRDefault="00FF14C3" w:rsidP="00E969FC">
            <w:pPr>
              <w:jc w:val="both"/>
              <w:rPr>
                <w:rFonts w:ascii="標楷體" w:eastAsia="標楷體" w:hAnsi="標楷體"/>
              </w:rPr>
            </w:pPr>
            <w:r>
              <w:rPr>
                <w:rFonts w:ascii="標楷體" w:eastAsia="標楷體" w:hAnsi="標楷體" w:hint="eastAsia"/>
              </w:rPr>
              <w:t>行政院</w:t>
            </w:r>
            <w:r w:rsidR="00BE279D">
              <w:rPr>
                <w:rFonts w:ascii="標楷體" w:eastAsia="標楷體" w:hAnsi="標楷體" w:hint="eastAsia"/>
              </w:rPr>
              <w:t>版</w:t>
            </w:r>
            <w:r>
              <w:rPr>
                <w:rFonts w:ascii="標楷體" w:eastAsia="標楷體" w:hAnsi="標楷體" w:hint="eastAsia"/>
              </w:rPr>
              <w:t>草案第30條第3項。</w:t>
            </w:r>
          </w:p>
        </w:tc>
      </w:tr>
      <w:tr w:rsidR="00E969FC" w:rsidRPr="00D67AF5" w14:paraId="0A726B52" w14:textId="77777777" w:rsidTr="005F2352">
        <w:tc>
          <w:tcPr>
            <w:tcW w:w="3823" w:type="dxa"/>
          </w:tcPr>
          <w:p w14:paraId="475F173F" w14:textId="77777777" w:rsidR="00E969FC" w:rsidRPr="00E969FC" w:rsidRDefault="00E969FC" w:rsidP="00E969FC">
            <w:pPr>
              <w:pStyle w:val="a7"/>
              <w:numPr>
                <w:ilvl w:val="0"/>
                <w:numId w:val="3"/>
              </w:numPr>
              <w:ind w:leftChars="0"/>
              <w:jc w:val="both"/>
              <w:rPr>
                <w:rFonts w:ascii="標楷體" w:eastAsia="標楷體" w:hAnsi="標楷體"/>
                <w:b/>
              </w:rPr>
            </w:pPr>
            <w:proofErr w:type="gramStart"/>
            <w:r w:rsidRPr="00E969FC">
              <w:rPr>
                <w:rFonts w:ascii="標楷體" w:eastAsia="標楷體" w:hAnsi="標楷體" w:hint="eastAsia"/>
                <w:b/>
              </w:rPr>
              <w:t>加嚴對違反</w:t>
            </w:r>
            <w:proofErr w:type="gramEnd"/>
            <w:r w:rsidRPr="00E969FC">
              <w:rPr>
                <w:rFonts w:ascii="標楷體" w:eastAsia="標楷體" w:hAnsi="標楷體" w:hint="eastAsia"/>
                <w:b/>
              </w:rPr>
              <w:t>空污法情節重大廠商之處罰並取消相關優惠。</w:t>
            </w:r>
          </w:p>
        </w:tc>
        <w:tc>
          <w:tcPr>
            <w:tcW w:w="7229" w:type="dxa"/>
          </w:tcPr>
          <w:p w14:paraId="260B9F49" w14:textId="77777777" w:rsidR="00E969FC" w:rsidRDefault="00FF14C3" w:rsidP="00E969FC">
            <w:pPr>
              <w:jc w:val="both"/>
              <w:rPr>
                <w:rFonts w:ascii="標楷體" w:eastAsia="標楷體" w:hAnsi="標楷體"/>
              </w:rPr>
            </w:pPr>
            <w:r>
              <w:rPr>
                <w:rFonts w:ascii="標楷體" w:eastAsia="標楷體" w:hAnsi="標楷體" w:hint="eastAsia"/>
              </w:rPr>
              <w:t>對於違反空污法屬情節重大之廠商，除應</w:t>
            </w:r>
            <w:proofErr w:type="gramStart"/>
            <w:r>
              <w:rPr>
                <w:rFonts w:ascii="標楷體" w:eastAsia="標楷體" w:hAnsi="標楷體" w:hint="eastAsia"/>
              </w:rPr>
              <w:t>加嚴其相關</w:t>
            </w:r>
            <w:proofErr w:type="gramEnd"/>
            <w:r>
              <w:rPr>
                <w:rFonts w:ascii="標楷體" w:eastAsia="標楷體" w:hAnsi="標楷體" w:hint="eastAsia"/>
              </w:rPr>
              <w:t>罰則外，應比照水污染防治法第73條之立法體例，</w:t>
            </w:r>
            <w:r w:rsidR="00182D0F">
              <w:rPr>
                <w:rFonts w:ascii="標楷體" w:eastAsia="標楷體" w:hAnsi="標楷體" w:hint="eastAsia"/>
              </w:rPr>
              <w:t>主管機關應公開情節重大之事業，並由提供優惠待遇之目的事業主管機關或各該法律主管機關停止或追回其違規行為所屬年度之優惠待遇，並於一定期間內不得再</w:t>
            </w:r>
            <w:r w:rsidR="00182D0F">
              <w:rPr>
                <w:rFonts w:ascii="標楷體" w:eastAsia="標楷體" w:hAnsi="標楷體" w:hint="eastAsia"/>
              </w:rPr>
              <w:lastRenderedPageBreak/>
              <w:t>享有相關政府之優惠，包括各式獎勵、補助、捐助或租金、稅捐或相關費用之一切優惠措施。</w:t>
            </w:r>
          </w:p>
        </w:tc>
        <w:tc>
          <w:tcPr>
            <w:tcW w:w="4111" w:type="dxa"/>
          </w:tcPr>
          <w:p w14:paraId="26EA6D5E" w14:textId="77777777" w:rsidR="00E969FC" w:rsidRPr="00E969FC" w:rsidRDefault="00182D0F" w:rsidP="00E969FC">
            <w:pPr>
              <w:jc w:val="both"/>
              <w:rPr>
                <w:rFonts w:ascii="標楷體" w:eastAsia="標楷體" w:hAnsi="標楷體"/>
              </w:rPr>
            </w:pPr>
            <w:r>
              <w:rPr>
                <w:rFonts w:ascii="標楷體" w:eastAsia="標楷體" w:hAnsi="標楷體" w:hint="eastAsia"/>
              </w:rPr>
              <w:lastRenderedPageBreak/>
              <w:t>行政院</w:t>
            </w:r>
            <w:r w:rsidR="00BE279D">
              <w:rPr>
                <w:rFonts w:ascii="標楷體" w:eastAsia="標楷體" w:hAnsi="標楷體" w:hint="eastAsia"/>
              </w:rPr>
              <w:t>版</w:t>
            </w:r>
            <w:r>
              <w:rPr>
                <w:rFonts w:ascii="標楷體" w:eastAsia="標楷體" w:hAnsi="標楷體" w:hint="eastAsia"/>
              </w:rPr>
              <w:t>草案第96條。</w:t>
            </w:r>
          </w:p>
        </w:tc>
      </w:tr>
      <w:tr w:rsidR="00E969FC" w:rsidRPr="00D67AF5" w14:paraId="5246CA20" w14:textId="77777777" w:rsidTr="005F2352">
        <w:tc>
          <w:tcPr>
            <w:tcW w:w="3823" w:type="dxa"/>
          </w:tcPr>
          <w:p w14:paraId="628BD6CB" w14:textId="6C142D82" w:rsidR="00E969FC" w:rsidRPr="00E969FC" w:rsidRDefault="00FE71B8" w:rsidP="00E969FC">
            <w:pPr>
              <w:pStyle w:val="a7"/>
              <w:numPr>
                <w:ilvl w:val="0"/>
                <w:numId w:val="3"/>
              </w:numPr>
              <w:ind w:leftChars="0"/>
              <w:jc w:val="both"/>
              <w:rPr>
                <w:rFonts w:ascii="標楷體" w:eastAsia="標楷體" w:hAnsi="標楷體"/>
                <w:b/>
              </w:rPr>
            </w:pPr>
            <w:r>
              <w:rPr>
                <w:rFonts w:ascii="標楷體" w:eastAsia="標楷體" w:hAnsi="標楷體" w:hint="eastAsia"/>
                <w:b/>
              </w:rPr>
              <w:t>針對公私場所違反空污法排放</w:t>
            </w:r>
            <w:r w:rsidR="00E969FC" w:rsidRPr="00E969FC">
              <w:rPr>
                <w:rFonts w:ascii="標楷體" w:eastAsia="標楷體" w:hAnsi="標楷體" w:hint="eastAsia"/>
                <w:b/>
              </w:rPr>
              <w:t>標準之行為，應獨立設置罰則，並提高罰鍰下限。</w:t>
            </w:r>
          </w:p>
        </w:tc>
        <w:tc>
          <w:tcPr>
            <w:tcW w:w="7229" w:type="dxa"/>
          </w:tcPr>
          <w:p w14:paraId="29BC17D1" w14:textId="77777777" w:rsidR="00E969FC" w:rsidRDefault="00182D0F" w:rsidP="00E969FC">
            <w:pPr>
              <w:jc w:val="both"/>
              <w:rPr>
                <w:rFonts w:ascii="標楷體" w:eastAsia="標楷體" w:hAnsi="標楷體"/>
              </w:rPr>
            </w:pPr>
            <w:r>
              <w:rPr>
                <w:rFonts w:ascii="標楷體" w:eastAsia="標楷體" w:hAnsi="標楷體" w:hint="eastAsia"/>
              </w:rPr>
              <w:t>現行空污法第56條（行政院</w:t>
            </w:r>
            <w:r w:rsidR="00BE279D">
              <w:rPr>
                <w:rFonts w:ascii="標楷體" w:eastAsia="標楷體" w:hAnsi="標楷體" w:hint="eastAsia"/>
              </w:rPr>
              <w:t>版</w:t>
            </w:r>
            <w:r>
              <w:rPr>
                <w:rFonts w:ascii="標楷體" w:eastAsia="標楷體" w:hAnsi="標楷體" w:hint="eastAsia"/>
              </w:rPr>
              <w:t>草案第62條）將公私場所違反第20條排放標準之</w:t>
            </w:r>
            <w:r w:rsidR="002C2539">
              <w:rPr>
                <w:rFonts w:ascii="標楷體" w:eastAsia="標楷體" w:hAnsi="標楷體" w:hint="eastAsia"/>
              </w:rPr>
              <w:t>違法排放污染物行</w:t>
            </w:r>
            <w:r>
              <w:rPr>
                <w:rFonts w:ascii="標楷體" w:eastAsia="標楷體" w:hAnsi="標楷體" w:hint="eastAsia"/>
              </w:rPr>
              <w:t>為，與其他違反有關排放監測、記錄或許可證等管理事項規定，採取同樣的處罰程度，</w:t>
            </w:r>
            <w:r w:rsidR="002C2539">
              <w:rPr>
                <w:rFonts w:ascii="標楷體" w:eastAsia="標楷體" w:hAnsi="標楷體" w:hint="eastAsia"/>
              </w:rPr>
              <w:t>未區分超標排放污染物之行為較諸其他違反管理事項規定之情形，已明顯對在地居民造成健康上危害，應有不同程度之處罰規定</w:t>
            </w:r>
            <w:r>
              <w:rPr>
                <w:rFonts w:ascii="標楷體" w:eastAsia="標楷體" w:hAnsi="標楷體" w:hint="eastAsia"/>
              </w:rPr>
              <w:t>。</w:t>
            </w:r>
            <w:r w:rsidR="002C2539">
              <w:rPr>
                <w:rFonts w:ascii="標楷體" w:eastAsia="標楷體" w:hAnsi="標楷體" w:hint="eastAsia"/>
              </w:rPr>
              <w:t>此次修法雖提高罰鍰上限，但對於違反排放標準之排放行為，其裁罰下限仍適用新臺幣十萬元以上之規定，</w:t>
            </w:r>
            <w:r>
              <w:rPr>
                <w:rFonts w:ascii="標楷體" w:eastAsia="標楷體" w:hAnsi="標楷體" w:hint="eastAsia"/>
              </w:rPr>
              <w:t>造成</w:t>
            </w:r>
            <w:r w:rsidR="002C2539">
              <w:rPr>
                <w:rFonts w:ascii="標楷體" w:eastAsia="標楷體" w:hAnsi="標楷體" w:hint="eastAsia"/>
              </w:rPr>
              <w:t>部分</w:t>
            </w:r>
            <w:r>
              <w:rPr>
                <w:rFonts w:ascii="標楷體" w:eastAsia="標楷體" w:hAnsi="標楷體" w:hint="eastAsia"/>
              </w:rPr>
              <w:t>不肖業者對於違反排放標準之管制</w:t>
            </w:r>
            <w:r w:rsidR="002C2539">
              <w:rPr>
                <w:rFonts w:ascii="標楷體" w:eastAsia="標楷體" w:hAnsi="標楷體" w:hint="eastAsia"/>
              </w:rPr>
              <w:t>，</w:t>
            </w:r>
            <w:proofErr w:type="gramStart"/>
            <w:r w:rsidR="002C2539">
              <w:rPr>
                <w:rFonts w:ascii="標楷體" w:eastAsia="標楷體" w:hAnsi="標楷體" w:hint="eastAsia"/>
              </w:rPr>
              <w:t>寧可「</w:t>
            </w:r>
            <w:proofErr w:type="gramEnd"/>
            <w:r w:rsidR="002C2539">
              <w:rPr>
                <w:rFonts w:ascii="標楷體" w:eastAsia="標楷體" w:hAnsi="標楷體" w:hint="eastAsia"/>
              </w:rPr>
              <w:t>定期」繳納罰鍰，亦不會積極</w:t>
            </w:r>
            <w:proofErr w:type="gramStart"/>
            <w:r w:rsidR="002C2539">
              <w:rPr>
                <w:rFonts w:ascii="標楷體" w:eastAsia="標楷體" w:hAnsi="標楷體" w:hint="eastAsia"/>
              </w:rPr>
              <w:t>改善超排情形</w:t>
            </w:r>
            <w:proofErr w:type="gramEnd"/>
            <w:r w:rsidR="002C2539">
              <w:rPr>
                <w:rFonts w:ascii="標楷體" w:eastAsia="標楷體" w:hAnsi="標楷體" w:hint="eastAsia"/>
              </w:rPr>
              <w:t>。因此，建議將違反排放標準之排放污染物行為獨立設置罰則，並提高罰鍰下限至新臺幣</w:t>
            </w:r>
            <w:proofErr w:type="gramStart"/>
            <w:r w:rsidR="002C2539">
              <w:rPr>
                <w:rFonts w:ascii="標楷體" w:eastAsia="標楷體" w:hAnsi="標楷體" w:hint="eastAsia"/>
              </w:rPr>
              <w:t>一</w:t>
            </w:r>
            <w:proofErr w:type="gramEnd"/>
            <w:r w:rsidR="002C2539">
              <w:rPr>
                <w:rFonts w:ascii="標楷體" w:eastAsia="標楷體" w:hAnsi="標楷體" w:hint="eastAsia"/>
              </w:rPr>
              <w:t>百萬元，以有效嚇阻違反排放標準之違法行為。</w:t>
            </w:r>
          </w:p>
        </w:tc>
        <w:tc>
          <w:tcPr>
            <w:tcW w:w="4111" w:type="dxa"/>
          </w:tcPr>
          <w:p w14:paraId="2FEA803F" w14:textId="77777777" w:rsidR="00E969FC" w:rsidRPr="00E969FC" w:rsidRDefault="00BE279D" w:rsidP="00E969FC">
            <w:pPr>
              <w:jc w:val="both"/>
              <w:rPr>
                <w:rFonts w:ascii="標楷體" w:eastAsia="標楷體" w:hAnsi="標楷體"/>
              </w:rPr>
            </w:pPr>
            <w:r>
              <w:rPr>
                <w:rFonts w:ascii="標楷體" w:eastAsia="標楷體" w:hAnsi="標楷體" w:hint="eastAsia"/>
              </w:rPr>
              <w:t>行政院版草案第62條。</w:t>
            </w:r>
          </w:p>
        </w:tc>
      </w:tr>
    </w:tbl>
    <w:p w14:paraId="45C20114" w14:textId="77777777" w:rsidR="001B6655" w:rsidRDefault="001B6655" w:rsidP="00E52AD4">
      <w:pPr>
        <w:rPr>
          <w:rFonts w:ascii="標楷體" w:eastAsia="標楷體" w:hAnsi="標楷體"/>
        </w:rPr>
        <w:sectPr w:rsidR="001B6655" w:rsidSect="009900C4">
          <w:headerReference w:type="default" r:id="rId7"/>
          <w:footerReference w:type="default" r:id="rId8"/>
          <w:pgSz w:w="16838" w:h="11906" w:orient="landscape" w:code="9"/>
          <w:pgMar w:top="851" w:right="851" w:bottom="851" w:left="851" w:header="851" w:footer="851" w:gutter="0"/>
          <w:pgNumType w:start="1"/>
          <w:cols w:space="425"/>
          <w:docGrid w:type="linesAndChars" w:linePitch="360"/>
        </w:sectPr>
      </w:pPr>
    </w:p>
    <w:p w14:paraId="00C51448" w14:textId="2FD30770" w:rsidR="00E77E18" w:rsidRDefault="001B6655" w:rsidP="00E52AD4">
      <w:pPr>
        <w:rPr>
          <w:rFonts w:ascii="標楷體" w:eastAsia="標楷體" w:hAnsi="標楷體"/>
          <w:b/>
          <w:sz w:val="28"/>
          <w:bdr w:val="single" w:sz="4" w:space="0" w:color="auto"/>
        </w:rPr>
      </w:pPr>
      <w:r w:rsidRPr="001B6655">
        <w:rPr>
          <w:rFonts w:ascii="標楷體" w:eastAsia="標楷體" w:hAnsi="標楷體" w:hint="eastAsia"/>
          <w:b/>
          <w:sz w:val="28"/>
          <w:bdr w:val="single" w:sz="4" w:space="0" w:color="auto"/>
        </w:rPr>
        <w:lastRenderedPageBreak/>
        <w:t>附　件二</w:t>
      </w:r>
    </w:p>
    <w:tbl>
      <w:tblPr>
        <w:tblW w:w="9200" w:type="dxa"/>
        <w:tblCellMar>
          <w:left w:w="28" w:type="dxa"/>
          <w:right w:w="28" w:type="dxa"/>
        </w:tblCellMar>
        <w:tblLook w:val="04A0" w:firstRow="1" w:lastRow="0" w:firstColumn="1" w:lastColumn="0" w:noHBand="0" w:noVBand="1"/>
      </w:tblPr>
      <w:tblGrid>
        <w:gridCol w:w="820"/>
        <w:gridCol w:w="1360"/>
        <w:gridCol w:w="5940"/>
        <w:gridCol w:w="1080"/>
      </w:tblGrid>
      <w:tr w:rsidR="001B6655" w:rsidRPr="00832B68" w14:paraId="01D18C06" w14:textId="77777777" w:rsidTr="009A1C59">
        <w:trPr>
          <w:trHeight w:val="405"/>
        </w:trPr>
        <w:tc>
          <w:tcPr>
            <w:tcW w:w="820" w:type="dxa"/>
            <w:tcBorders>
              <w:top w:val="double" w:sz="6" w:space="0" w:color="203764"/>
              <w:left w:val="double" w:sz="6" w:space="0" w:color="203764"/>
              <w:bottom w:val="single" w:sz="4" w:space="0" w:color="203764"/>
              <w:right w:val="single" w:sz="4" w:space="0" w:color="203764"/>
            </w:tcBorders>
            <w:shd w:val="clear" w:color="000000" w:fill="305496"/>
            <w:noWrap/>
            <w:vAlign w:val="center"/>
            <w:hideMark/>
          </w:tcPr>
          <w:p w14:paraId="18702890" w14:textId="77777777" w:rsidR="001B6655" w:rsidRPr="00832B68" w:rsidRDefault="001B6655" w:rsidP="009A1C59">
            <w:pPr>
              <w:widowControl/>
              <w:rPr>
                <w:rFonts w:ascii="微軟正黑體" w:eastAsia="微軟正黑體" w:hAnsi="微軟正黑體" w:cs="新細明體"/>
                <w:b/>
                <w:bCs/>
                <w:color w:val="FFFFFF"/>
                <w:kern w:val="0"/>
                <w:sz w:val="22"/>
              </w:rPr>
            </w:pPr>
            <w:r w:rsidRPr="00832B68">
              <w:rPr>
                <w:rFonts w:ascii="微軟正黑體" w:eastAsia="微軟正黑體" w:hAnsi="微軟正黑體" w:cs="新細明體" w:hint="eastAsia"/>
                <w:b/>
                <w:bCs/>
                <w:color w:val="FFFFFF"/>
                <w:kern w:val="0"/>
                <w:sz w:val="22"/>
              </w:rPr>
              <w:t xml:space="preserve">　</w:t>
            </w:r>
          </w:p>
        </w:tc>
        <w:tc>
          <w:tcPr>
            <w:tcW w:w="1360" w:type="dxa"/>
            <w:tcBorders>
              <w:top w:val="double" w:sz="6" w:space="0" w:color="203764"/>
              <w:left w:val="nil"/>
              <w:bottom w:val="single" w:sz="4" w:space="0" w:color="203764"/>
              <w:right w:val="single" w:sz="4" w:space="0" w:color="203764"/>
            </w:tcBorders>
            <w:shd w:val="clear" w:color="000000" w:fill="305496"/>
            <w:noWrap/>
            <w:vAlign w:val="center"/>
            <w:hideMark/>
          </w:tcPr>
          <w:p w14:paraId="21D0E213" w14:textId="77777777" w:rsidR="001B6655" w:rsidRPr="00832B68" w:rsidRDefault="001B6655" w:rsidP="009A1C59">
            <w:pPr>
              <w:widowControl/>
              <w:jc w:val="center"/>
              <w:rPr>
                <w:rFonts w:ascii="微軟正黑體" w:eastAsia="微軟正黑體" w:hAnsi="微軟正黑體" w:cs="新細明體"/>
                <w:b/>
                <w:bCs/>
                <w:color w:val="FFFFFF"/>
                <w:kern w:val="0"/>
                <w:sz w:val="22"/>
              </w:rPr>
            </w:pPr>
            <w:r w:rsidRPr="00832B68">
              <w:rPr>
                <w:rFonts w:ascii="微軟正黑體" w:eastAsia="微軟正黑體" w:hAnsi="微軟正黑體" w:cs="新細明體" w:hint="eastAsia"/>
                <w:b/>
                <w:bCs/>
                <w:color w:val="FFFFFF"/>
                <w:kern w:val="0"/>
                <w:sz w:val="22"/>
              </w:rPr>
              <w:t>違規時間</w:t>
            </w:r>
          </w:p>
        </w:tc>
        <w:tc>
          <w:tcPr>
            <w:tcW w:w="5940" w:type="dxa"/>
            <w:tcBorders>
              <w:top w:val="double" w:sz="6" w:space="0" w:color="203764"/>
              <w:left w:val="nil"/>
              <w:bottom w:val="single" w:sz="4" w:space="0" w:color="203764"/>
              <w:right w:val="single" w:sz="4" w:space="0" w:color="203764"/>
            </w:tcBorders>
            <w:shd w:val="clear" w:color="000000" w:fill="305496"/>
            <w:vAlign w:val="center"/>
            <w:hideMark/>
          </w:tcPr>
          <w:p w14:paraId="657DAA7F" w14:textId="77777777" w:rsidR="001B6655" w:rsidRPr="00832B68" w:rsidRDefault="001B6655" w:rsidP="009A1C59">
            <w:pPr>
              <w:widowControl/>
              <w:jc w:val="center"/>
              <w:rPr>
                <w:rFonts w:ascii="微軟正黑體" w:eastAsia="微軟正黑體" w:hAnsi="微軟正黑體" w:cs="新細明體"/>
                <w:b/>
                <w:bCs/>
                <w:color w:val="FFFFFF"/>
                <w:kern w:val="0"/>
                <w:sz w:val="22"/>
              </w:rPr>
            </w:pPr>
            <w:r w:rsidRPr="00832B68">
              <w:rPr>
                <w:rFonts w:ascii="微軟正黑體" w:eastAsia="微軟正黑體" w:hAnsi="微軟正黑體" w:cs="新細明體" w:hint="eastAsia"/>
                <w:b/>
                <w:bCs/>
                <w:color w:val="FFFFFF"/>
                <w:kern w:val="0"/>
                <w:sz w:val="22"/>
              </w:rPr>
              <w:t>裁處事由</w:t>
            </w:r>
          </w:p>
        </w:tc>
        <w:tc>
          <w:tcPr>
            <w:tcW w:w="1080" w:type="dxa"/>
            <w:tcBorders>
              <w:top w:val="double" w:sz="6" w:space="0" w:color="203764"/>
              <w:left w:val="nil"/>
              <w:bottom w:val="single" w:sz="4" w:space="0" w:color="203764"/>
              <w:right w:val="double" w:sz="6" w:space="0" w:color="203764"/>
            </w:tcBorders>
            <w:shd w:val="clear" w:color="000000" w:fill="305496"/>
            <w:noWrap/>
            <w:vAlign w:val="center"/>
            <w:hideMark/>
          </w:tcPr>
          <w:p w14:paraId="2102C1CD" w14:textId="77777777" w:rsidR="001B6655" w:rsidRPr="00832B68" w:rsidRDefault="001B6655" w:rsidP="009A1C59">
            <w:pPr>
              <w:widowControl/>
              <w:jc w:val="center"/>
              <w:rPr>
                <w:rFonts w:ascii="微軟正黑體" w:eastAsia="微軟正黑體" w:hAnsi="微軟正黑體" w:cs="新細明體"/>
                <w:b/>
                <w:bCs/>
                <w:color w:val="FFFFFF"/>
                <w:kern w:val="0"/>
                <w:sz w:val="22"/>
              </w:rPr>
            </w:pPr>
            <w:r w:rsidRPr="00832B68">
              <w:rPr>
                <w:rFonts w:ascii="微軟正黑體" w:eastAsia="微軟正黑體" w:hAnsi="微軟正黑體" w:cs="新細明體" w:hint="eastAsia"/>
                <w:b/>
                <w:bCs/>
                <w:color w:val="FFFFFF"/>
                <w:kern w:val="0"/>
                <w:sz w:val="22"/>
              </w:rPr>
              <w:t>裁處金額</w:t>
            </w:r>
          </w:p>
        </w:tc>
      </w:tr>
      <w:tr w:rsidR="001B6655" w:rsidRPr="00832B68" w14:paraId="0BE5E592" w14:textId="77777777" w:rsidTr="009A1C59">
        <w:trPr>
          <w:trHeight w:val="330"/>
        </w:trPr>
        <w:tc>
          <w:tcPr>
            <w:tcW w:w="820" w:type="dxa"/>
            <w:vMerge w:val="restart"/>
            <w:tcBorders>
              <w:top w:val="nil"/>
              <w:left w:val="double" w:sz="6" w:space="0" w:color="203764"/>
              <w:bottom w:val="double" w:sz="6" w:space="0" w:color="203764"/>
              <w:right w:val="single" w:sz="4" w:space="0" w:color="203764"/>
            </w:tcBorders>
            <w:shd w:val="clear" w:color="000000" w:fill="8EA9DB"/>
            <w:vAlign w:val="center"/>
            <w:hideMark/>
          </w:tcPr>
          <w:p w14:paraId="5EF57EA5" w14:textId="77777777" w:rsidR="001B6655" w:rsidRPr="00832B68" w:rsidRDefault="001B6655" w:rsidP="009A1C59">
            <w:pPr>
              <w:widowControl/>
              <w:jc w:val="center"/>
              <w:rPr>
                <w:rFonts w:ascii="微軟正黑體" w:eastAsia="微軟正黑體" w:hAnsi="微軟正黑體" w:cs="新細明體"/>
                <w:b/>
                <w:bCs/>
                <w:color w:val="FFFFFF"/>
                <w:kern w:val="0"/>
                <w:sz w:val="18"/>
                <w:szCs w:val="18"/>
              </w:rPr>
            </w:pPr>
            <w:r w:rsidRPr="00832B68">
              <w:rPr>
                <w:rFonts w:ascii="微軟正黑體" w:eastAsia="微軟正黑體" w:hAnsi="微軟正黑體" w:cs="新細明體" w:hint="eastAsia"/>
                <w:b/>
                <w:bCs/>
                <w:color w:val="FFFFFF"/>
                <w:kern w:val="0"/>
                <w:sz w:val="18"/>
                <w:szCs w:val="18"/>
              </w:rPr>
              <w:t>台</w:t>
            </w:r>
            <w:r w:rsidRPr="00832B68">
              <w:rPr>
                <w:rFonts w:ascii="微軟正黑體" w:eastAsia="微軟正黑體" w:hAnsi="微軟正黑體" w:cs="新細明體" w:hint="eastAsia"/>
                <w:b/>
                <w:bCs/>
                <w:color w:val="FFFFFF"/>
                <w:kern w:val="0"/>
                <w:sz w:val="18"/>
                <w:szCs w:val="18"/>
              </w:rPr>
              <w:br/>
              <w:t>灣</w:t>
            </w:r>
            <w:r w:rsidRPr="00832B68">
              <w:rPr>
                <w:rFonts w:ascii="微軟正黑體" w:eastAsia="微軟正黑體" w:hAnsi="微軟正黑體" w:cs="新細明體" w:hint="eastAsia"/>
                <w:b/>
                <w:bCs/>
                <w:color w:val="FFFFFF"/>
                <w:kern w:val="0"/>
                <w:sz w:val="18"/>
                <w:szCs w:val="18"/>
              </w:rPr>
              <w:br/>
              <w:t>氯</w:t>
            </w:r>
            <w:r w:rsidRPr="00832B68">
              <w:rPr>
                <w:rFonts w:ascii="微軟正黑體" w:eastAsia="微軟正黑體" w:hAnsi="微軟正黑體" w:cs="新細明體" w:hint="eastAsia"/>
                <w:b/>
                <w:bCs/>
                <w:color w:val="FFFFFF"/>
                <w:kern w:val="0"/>
                <w:sz w:val="18"/>
                <w:szCs w:val="18"/>
              </w:rPr>
              <w:br/>
              <w:t>乙</w:t>
            </w:r>
            <w:r w:rsidRPr="00832B68">
              <w:rPr>
                <w:rFonts w:ascii="微軟正黑體" w:eastAsia="微軟正黑體" w:hAnsi="微軟正黑體" w:cs="新細明體" w:hint="eastAsia"/>
                <w:b/>
                <w:bCs/>
                <w:color w:val="FFFFFF"/>
                <w:kern w:val="0"/>
                <w:sz w:val="18"/>
                <w:szCs w:val="18"/>
              </w:rPr>
              <w:br/>
              <w:t>烯</w:t>
            </w:r>
            <w:r w:rsidRPr="00832B68">
              <w:rPr>
                <w:rFonts w:ascii="微軟正黑體" w:eastAsia="微軟正黑體" w:hAnsi="微軟正黑體" w:cs="新細明體" w:hint="eastAsia"/>
                <w:b/>
                <w:bCs/>
                <w:color w:val="FFFFFF"/>
                <w:kern w:val="0"/>
                <w:sz w:val="18"/>
                <w:szCs w:val="18"/>
              </w:rPr>
              <w:br/>
              <w:t>工</w:t>
            </w:r>
            <w:r w:rsidRPr="00832B68">
              <w:rPr>
                <w:rFonts w:ascii="微軟正黑體" w:eastAsia="微軟正黑體" w:hAnsi="微軟正黑體" w:cs="新細明體" w:hint="eastAsia"/>
                <w:b/>
                <w:bCs/>
                <w:color w:val="FFFFFF"/>
                <w:kern w:val="0"/>
                <w:sz w:val="18"/>
                <w:szCs w:val="18"/>
              </w:rPr>
              <w:br/>
              <w:t>業</w:t>
            </w:r>
            <w:r w:rsidRPr="00832B68">
              <w:rPr>
                <w:rFonts w:ascii="微軟正黑體" w:eastAsia="微軟正黑體" w:hAnsi="微軟正黑體" w:cs="新細明體" w:hint="eastAsia"/>
                <w:b/>
                <w:bCs/>
                <w:color w:val="FFFFFF"/>
                <w:kern w:val="0"/>
                <w:sz w:val="18"/>
                <w:szCs w:val="18"/>
              </w:rPr>
              <w:br/>
              <w:t>股</w:t>
            </w:r>
            <w:r w:rsidRPr="00832B68">
              <w:rPr>
                <w:rFonts w:ascii="微軟正黑體" w:eastAsia="微軟正黑體" w:hAnsi="微軟正黑體" w:cs="新細明體" w:hint="eastAsia"/>
                <w:b/>
                <w:bCs/>
                <w:color w:val="FFFFFF"/>
                <w:kern w:val="0"/>
                <w:sz w:val="18"/>
                <w:szCs w:val="18"/>
              </w:rPr>
              <w:br/>
              <w:t>份</w:t>
            </w:r>
            <w:r w:rsidRPr="00832B68">
              <w:rPr>
                <w:rFonts w:ascii="微軟正黑體" w:eastAsia="微軟正黑體" w:hAnsi="微軟正黑體" w:cs="新細明體" w:hint="eastAsia"/>
                <w:b/>
                <w:bCs/>
                <w:color w:val="FFFFFF"/>
                <w:kern w:val="0"/>
                <w:sz w:val="18"/>
                <w:szCs w:val="18"/>
              </w:rPr>
              <w:br/>
              <w:t>有</w:t>
            </w:r>
            <w:r w:rsidRPr="00832B68">
              <w:rPr>
                <w:rFonts w:ascii="微軟正黑體" w:eastAsia="微軟正黑體" w:hAnsi="微軟正黑體" w:cs="新細明體" w:hint="eastAsia"/>
                <w:b/>
                <w:bCs/>
                <w:color w:val="FFFFFF"/>
                <w:kern w:val="0"/>
                <w:sz w:val="18"/>
                <w:szCs w:val="18"/>
              </w:rPr>
              <w:br/>
              <w:t>限</w:t>
            </w:r>
            <w:r w:rsidRPr="00832B68">
              <w:rPr>
                <w:rFonts w:ascii="微軟正黑體" w:eastAsia="微軟正黑體" w:hAnsi="微軟正黑體" w:cs="新細明體" w:hint="eastAsia"/>
                <w:b/>
                <w:bCs/>
                <w:color w:val="FFFFFF"/>
                <w:kern w:val="0"/>
                <w:sz w:val="18"/>
                <w:szCs w:val="18"/>
              </w:rPr>
              <w:br/>
              <w:t>公</w:t>
            </w:r>
            <w:r w:rsidRPr="00832B68">
              <w:rPr>
                <w:rFonts w:ascii="微軟正黑體" w:eastAsia="微軟正黑體" w:hAnsi="微軟正黑體" w:cs="新細明體" w:hint="eastAsia"/>
                <w:b/>
                <w:bCs/>
                <w:color w:val="FFFFFF"/>
                <w:kern w:val="0"/>
                <w:sz w:val="18"/>
                <w:szCs w:val="18"/>
              </w:rPr>
              <w:br/>
              <w:t>司</w:t>
            </w:r>
            <w:r w:rsidRPr="00832B68">
              <w:rPr>
                <w:rFonts w:ascii="微軟正黑體" w:eastAsia="微軟正黑體" w:hAnsi="微軟正黑體" w:cs="新細明體" w:hint="eastAsia"/>
                <w:b/>
                <w:bCs/>
                <w:color w:val="FFFFFF"/>
                <w:kern w:val="0"/>
                <w:sz w:val="18"/>
                <w:szCs w:val="18"/>
              </w:rPr>
              <w:br/>
              <w:t>林</w:t>
            </w:r>
            <w:r w:rsidRPr="00832B68">
              <w:rPr>
                <w:rFonts w:ascii="微軟正黑體" w:eastAsia="微軟正黑體" w:hAnsi="微軟正黑體" w:cs="新細明體" w:hint="eastAsia"/>
                <w:b/>
                <w:bCs/>
                <w:color w:val="FFFFFF"/>
                <w:kern w:val="0"/>
                <w:sz w:val="18"/>
                <w:szCs w:val="18"/>
              </w:rPr>
              <w:br/>
              <w:t>園</w:t>
            </w:r>
            <w:r w:rsidRPr="00832B68">
              <w:rPr>
                <w:rFonts w:ascii="微軟正黑體" w:eastAsia="微軟正黑體" w:hAnsi="微軟正黑體" w:cs="新細明體" w:hint="eastAsia"/>
                <w:b/>
                <w:bCs/>
                <w:color w:val="FFFFFF"/>
                <w:kern w:val="0"/>
                <w:sz w:val="18"/>
                <w:szCs w:val="18"/>
              </w:rPr>
              <w:br/>
              <w:t>廠</w:t>
            </w:r>
          </w:p>
        </w:tc>
        <w:tc>
          <w:tcPr>
            <w:tcW w:w="1360" w:type="dxa"/>
            <w:tcBorders>
              <w:top w:val="nil"/>
              <w:left w:val="nil"/>
              <w:bottom w:val="single" w:sz="4" w:space="0" w:color="203764"/>
              <w:right w:val="single" w:sz="4" w:space="0" w:color="203764"/>
            </w:tcBorders>
            <w:shd w:val="clear" w:color="auto" w:fill="auto"/>
            <w:noWrap/>
            <w:vAlign w:val="center"/>
            <w:hideMark/>
          </w:tcPr>
          <w:p w14:paraId="0B087031"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2016年5月</w:t>
            </w:r>
          </w:p>
        </w:tc>
        <w:tc>
          <w:tcPr>
            <w:tcW w:w="5940" w:type="dxa"/>
            <w:tcBorders>
              <w:top w:val="nil"/>
              <w:left w:val="nil"/>
              <w:bottom w:val="single" w:sz="4" w:space="0" w:color="203764"/>
              <w:right w:val="single" w:sz="4" w:space="0" w:color="203764"/>
            </w:tcBorders>
            <w:shd w:val="clear" w:color="auto" w:fill="auto"/>
            <w:vAlign w:val="center"/>
            <w:hideMark/>
          </w:tcPr>
          <w:p w14:paraId="5DC4AFA9"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M01製程，違反「空氣污染防制法」第20條第1項規定。</w:t>
            </w:r>
          </w:p>
        </w:tc>
        <w:tc>
          <w:tcPr>
            <w:tcW w:w="1080" w:type="dxa"/>
            <w:tcBorders>
              <w:top w:val="nil"/>
              <w:left w:val="nil"/>
              <w:bottom w:val="single" w:sz="4" w:space="0" w:color="203764"/>
              <w:right w:val="double" w:sz="6" w:space="0" w:color="203764"/>
            </w:tcBorders>
            <w:shd w:val="clear" w:color="auto" w:fill="auto"/>
            <w:noWrap/>
            <w:vAlign w:val="center"/>
            <w:hideMark/>
          </w:tcPr>
          <w:p w14:paraId="5D93D882" w14:textId="77777777" w:rsidR="001B6655" w:rsidRPr="00832B68" w:rsidRDefault="001B6655" w:rsidP="009A1C59">
            <w:pPr>
              <w:widowControl/>
              <w:jc w:val="center"/>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10萬</w:t>
            </w:r>
          </w:p>
        </w:tc>
      </w:tr>
      <w:tr w:rsidR="001B6655" w:rsidRPr="00832B68" w14:paraId="50E0C026" w14:textId="77777777" w:rsidTr="009A1C59">
        <w:trPr>
          <w:trHeight w:val="330"/>
        </w:trPr>
        <w:tc>
          <w:tcPr>
            <w:tcW w:w="820" w:type="dxa"/>
            <w:vMerge/>
            <w:tcBorders>
              <w:top w:val="nil"/>
              <w:left w:val="double" w:sz="6" w:space="0" w:color="203764"/>
              <w:bottom w:val="double" w:sz="6" w:space="0" w:color="203764"/>
              <w:right w:val="single" w:sz="4" w:space="0" w:color="203764"/>
            </w:tcBorders>
            <w:vAlign w:val="center"/>
            <w:hideMark/>
          </w:tcPr>
          <w:p w14:paraId="0DA4CC90" w14:textId="77777777" w:rsidR="001B6655" w:rsidRPr="00832B68" w:rsidRDefault="001B6655" w:rsidP="009A1C59">
            <w:pPr>
              <w:widowControl/>
              <w:rPr>
                <w:rFonts w:ascii="微軟正黑體" w:eastAsia="微軟正黑體" w:hAnsi="微軟正黑體" w:cs="新細明體"/>
                <w:b/>
                <w:bCs/>
                <w:color w:val="FFFFFF"/>
                <w:kern w:val="0"/>
                <w:sz w:val="18"/>
                <w:szCs w:val="18"/>
              </w:rPr>
            </w:pPr>
          </w:p>
        </w:tc>
        <w:tc>
          <w:tcPr>
            <w:tcW w:w="1360" w:type="dxa"/>
            <w:tcBorders>
              <w:top w:val="nil"/>
              <w:left w:val="nil"/>
              <w:bottom w:val="single" w:sz="4" w:space="0" w:color="203764"/>
              <w:right w:val="single" w:sz="4" w:space="0" w:color="203764"/>
            </w:tcBorders>
            <w:shd w:val="clear" w:color="auto" w:fill="auto"/>
            <w:noWrap/>
            <w:vAlign w:val="center"/>
            <w:hideMark/>
          </w:tcPr>
          <w:p w14:paraId="06485E79"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2016年12月</w:t>
            </w:r>
          </w:p>
        </w:tc>
        <w:tc>
          <w:tcPr>
            <w:tcW w:w="5940" w:type="dxa"/>
            <w:tcBorders>
              <w:top w:val="nil"/>
              <w:left w:val="nil"/>
              <w:bottom w:val="single" w:sz="4" w:space="0" w:color="203764"/>
              <w:right w:val="single" w:sz="4" w:space="0" w:color="203764"/>
            </w:tcBorders>
            <w:shd w:val="clear" w:color="auto" w:fill="auto"/>
            <w:vAlign w:val="center"/>
            <w:hideMark/>
          </w:tcPr>
          <w:p w14:paraId="215CF73D"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M01製程，違反「空氣污染防制法」第20條第1項規定。</w:t>
            </w:r>
          </w:p>
        </w:tc>
        <w:tc>
          <w:tcPr>
            <w:tcW w:w="1080" w:type="dxa"/>
            <w:tcBorders>
              <w:top w:val="nil"/>
              <w:left w:val="nil"/>
              <w:bottom w:val="single" w:sz="4" w:space="0" w:color="203764"/>
              <w:right w:val="double" w:sz="6" w:space="0" w:color="203764"/>
            </w:tcBorders>
            <w:shd w:val="clear" w:color="auto" w:fill="auto"/>
            <w:noWrap/>
            <w:vAlign w:val="center"/>
            <w:hideMark/>
          </w:tcPr>
          <w:p w14:paraId="0685AA3E" w14:textId="77777777" w:rsidR="001B6655" w:rsidRPr="00832B68" w:rsidRDefault="001B6655" w:rsidP="009A1C59">
            <w:pPr>
              <w:widowControl/>
              <w:jc w:val="center"/>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20萬</w:t>
            </w:r>
          </w:p>
        </w:tc>
      </w:tr>
      <w:tr w:rsidR="001B6655" w:rsidRPr="00832B68" w14:paraId="5B3A3AD1" w14:textId="77777777" w:rsidTr="009A1C59">
        <w:trPr>
          <w:trHeight w:val="1275"/>
        </w:trPr>
        <w:tc>
          <w:tcPr>
            <w:tcW w:w="820" w:type="dxa"/>
            <w:vMerge/>
            <w:tcBorders>
              <w:top w:val="nil"/>
              <w:left w:val="double" w:sz="6" w:space="0" w:color="203764"/>
              <w:bottom w:val="double" w:sz="6" w:space="0" w:color="203764"/>
              <w:right w:val="single" w:sz="4" w:space="0" w:color="203764"/>
            </w:tcBorders>
            <w:vAlign w:val="center"/>
            <w:hideMark/>
          </w:tcPr>
          <w:p w14:paraId="59385169" w14:textId="77777777" w:rsidR="001B6655" w:rsidRPr="00832B68" w:rsidRDefault="001B6655" w:rsidP="009A1C59">
            <w:pPr>
              <w:widowControl/>
              <w:rPr>
                <w:rFonts w:ascii="微軟正黑體" w:eastAsia="微軟正黑體" w:hAnsi="微軟正黑體" w:cs="新細明體"/>
                <w:b/>
                <w:bCs/>
                <w:color w:val="FFFFFF"/>
                <w:kern w:val="0"/>
                <w:sz w:val="18"/>
                <w:szCs w:val="18"/>
              </w:rPr>
            </w:pPr>
          </w:p>
        </w:tc>
        <w:tc>
          <w:tcPr>
            <w:tcW w:w="1360" w:type="dxa"/>
            <w:tcBorders>
              <w:top w:val="nil"/>
              <w:left w:val="nil"/>
              <w:bottom w:val="single" w:sz="4" w:space="0" w:color="203764"/>
              <w:right w:val="single" w:sz="4" w:space="0" w:color="203764"/>
            </w:tcBorders>
            <w:shd w:val="clear" w:color="auto" w:fill="auto"/>
            <w:noWrap/>
            <w:vAlign w:val="center"/>
            <w:hideMark/>
          </w:tcPr>
          <w:p w14:paraId="609820A7"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2017年1月</w:t>
            </w:r>
          </w:p>
        </w:tc>
        <w:tc>
          <w:tcPr>
            <w:tcW w:w="5940" w:type="dxa"/>
            <w:tcBorders>
              <w:top w:val="nil"/>
              <w:left w:val="nil"/>
              <w:bottom w:val="single" w:sz="4" w:space="0" w:color="203764"/>
              <w:right w:val="single" w:sz="4" w:space="0" w:color="203764"/>
            </w:tcBorders>
            <w:shd w:val="clear" w:color="auto" w:fill="auto"/>
            <w:vAlign w:val="center"/>
            <w:hideMark/>
          </w:tcPr>
          <w:p w14:paraId="47299C01"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本局於106年1月5日派員至M01製程檢測設備元件揮發性有機物洩漏濃度，發現共計3點設備元件洩漏</w:t>
            </w:r>
            <w:proofErr w:type="gramStart"/>
            <w:r w:rsidRPr="00832B68">
              <w:rPr>
                <w:rFonts w:ascii="微軟正黑體" w:eastAsia="微軟正黑體" w:hAnsi="微軟正黑體" w:cs="新細明體" w:hint="eastAsia"/>
                <w:color w:val="464646"/>
                <w:kern w:val="0"/>
                <w:sz w:val="18"/>
                <w:szCs w:val="18"/>
              </w:rPr>
              <w:t>淨檢值</w:t>
            </w:r>
            <w:proofErr w:type="gramEnd"/>
            <w:r w:rsidRPr="00832B68">
              <w:rPr>
                <w:rFonts w:ascii="微軟正黑體" w:eastAsia="微軟正黑體" w:hAnsi="微軟正黑體" w:cs="新細明體" w:hint="eastAsia"/>
                <w:color w:val="464646"/>
                <w:kern w:val="0"/>
                <w:sz w:val="18"/>
                <w:szCs w:val="18"/>
              </w:rPr>
              <w:t>大於2,000ppm，超過「高雄市設備元件揮發性有機物管制及排放標準」，已違反空氣污染防制法第20條第1項規定。另於105年5月25日及105年12月22日該製程亦有相同違規事由，</w:t>
            </w:r>
            <w:proofErr w:type="gramStart"/>
            <w:r w:rsidRPr="00832B68">
              <w:rPr>
                <w:rFonts w:ascii="微軟正黑體" w:eastAsia="微軟正黑體" w:hAnsi="微軟正黑體" w:cs="新細明體" w:hint="eastAsia"/>
                <w:color w:val="464646"/>
                <w:kern w:val="0"/>
                <w:sz w:val="18"/>
                <w:szCs w:val="18"/>
              </w:rPr>
              <w:t>一</w:t>
            </w:r>
            <w:proofErr w:type="gramEnd"/>
            <w:r w:rsidRPr="00832B68">
              <w:rPr>
                <w:rFonts w:ascii="微軟正黑體" w:eastAsia="微軟正黑體" w:hAnsi="微軟正黑體" w:cs="新細明體" w:hint="eastAsia"/>
                <w:color w:val="464646"/>
                <w:kern w:val="0"/>
                <w:sz w:val="18"/>
                <w:szCs w:val="18"/>
              </w:rPr>
              <w:t>年內經2次限期改善，仍違反上述法規，已符空氣污染防制法第82條所訂情節重大情形。</w:t>
            </w:r>
          </w:p>
        </w:tc>
        <w:tc>
          <w:tcPr>
            <w:tcW w:w="1080" w:type="dxa"/>
            <w:tcBorders>
              <w:top w:val="nil"/>
              <w:left w:val="nil"/>
              <w:bottom w:val="single" w:sz="4" w:space="0" w:color="203764"/>
              <w:right w:val="double" w:sz="6" w:space="0" w:color="203764"/>
            </w:tcBorders>
            <w:shd w:val="clear" w:color="auto" w:fill="auto"/>
            <w:noWrap/>
            <w:vAlign w:val="center"/>
            <w:hideMark/>
          </w:tcPr>
          <w:p w14:paraId="2252BD70" w14:textId="77777777" w:rsidR="001B6655" w:rsidRPr="00832B68" w:rsidRDefault="001B6655" w:rsidP="009A1C59">
            <w:pPr>
              <w:widowControl/>
              <w:jc w:val="center"/>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100萬</w:t>
            </w:r>
          </w:p>
        </w:tc>
      </w:tr>
      <w:tr w:rsidR="001B6655" w:rsidRPr="00832B68" w14:paraId="2D7B9CB9" w14:textId="77777777" w:rsidTr="009A1C59">
        <w:trPr>
          <w:trHeight w:val="1530"/>
        </w:trPr>
        <w:tc>
          <w:tcPr>
            <w:tcW w:w="820" w:type="dxa"/>
            <w:vMerge/>
            <w:tcBorders>
              <w:top w:val="nil"/>
              <w:left w:val="double" w:sz="6" w:space="0" w:color="203764"/>
              <w:bottom w:val="double" w:sz="6" w:space="0" w:color="203764"/>
              <w:right w:val="single" w:sz="4" w:space="0" w:color="203764"/>
            </w:tcBorders>
            <w:vAlign w:val="center"/>
            <w:hideMark/>
          </w:tcPr>
          <w:p w14:paraId="63EF488D" w14:textId="77777777" w:rsidR="001B6655" w:rsidRPr="00832B68" w:rsidRDefault="001B6655" w:rsidP="009A1C59">
            <w:pPr>
              <w:widowControl/>
              <w:rPr>
                <w:rFonts w:ascii="微軟正黑體" w:eastAsia="微軟正黑體" w:hAnsi="微軟正黑體" w:cs="新細明體"/>
                <w:b/>
                <w:bCs/>
                <w:color w:val="FFFFFF"/>
                <w:kern w:val="0"/>
                <w:sz w:val="18"/>
                <w:szCs w:val="18"/>
              </w:rPr>
            </w:pPr>
          </w:p>
        </w:tc>
        <w:tc>
          <w:tcPr>
            <w:tcW w:w="1360" w:type="dxa"/>
            <w:tcBorders>
              <w:top w:val="nil"/>
              <w:left w:val="nil"/>
              <w:bottom w:val="single" w:sz="4" w:space="0" w:color="203764"/>
              <w:right w:val="single" w:sz="4" w:space="0" w:color="203764"/>
            </w:tcBorders>
            <w:shd w:val="clear" w:color="auto" w:fill="auto"/>
            <w:noWrap/>
            <w:vAlign w:val="center"/>
            <w:hideMark/>
          </w:tcPr>
          <w:p w14:paraId="6DBF4740"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2017年5月</w:t>
            </w:r>
          </w:p>
        </w:tc>
        <w:tc>
          <w:tcPr>
            <w:tcW w:w="5940" w:type="dxa"/>
            <w:tcBorders>
              <w:top w:val="nil"/>
              <w:left w:val="nil"/>
              <w:bottom w:val="single" w:sz="4" w:space="0" w:color="203764"/>
              <w:right w:val="single" w:sz="4" w:space="0" w:color="203764"/>
            </w:tcBorders>
            <w:shd w:val="clear" w:color="auto" w:fill="auto"/>
            <w:vAlign w:val="center"/>
            <w:hideMark/>
          </w:tcPr>
          <w:p w14:paraId="5E1D5005"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本局於106年5月5日派員至M01製程檢測設備元件揮發性有機物洩漏濃度，發現共計5點設備元件洩漏</w:t>
            </w:r>
            <w:proofErr w:type="gramStart"/>
            <w:r w:rsidRPr="00832B68">
              <w:rPr>
                <w:rFonts w:ascii="微軟正黑體" w:eastAsia="微軟正黑體" w:hAnsi="微軟正黑體" w:cs="新細明體" w:hint="eastAsia"/>
                <w:color w:val="464646"/>
                <w:kern w:val="0"/>
                <w:sz w:val="18"/>
                <w:szCs w:val="18"/>
              </w:rPr>
              <w:t>淨檢值</w:t>
            </w:r>
            <w:proofErr w:type="gramEnd"/>
            <w:r w:rsidRPr="00832B68">
              <w:rPr>
                <w:rFonts w:ascii="微軟正黑體" w:eastAsia="微軟正黑體" w:hAnsi="微軟正黑體" w:cs="新細明體" w:hint="eastAsia"/>
                <w:color w:val="464646"/>
                <w:kern w:val="0"/>
                <w:sz w:val="18"/>
                <w:szCs w:val="18"/>
              </w:rPr>
              <w:t>大於2,000ppm，超過「高雄市設備元件揮發性有機物管制及排放標準」，已違反空氣污染防制法第20條第1項規定。另於105年5月25日、105年12月22日及106年1月5日該製程亦有相同違規事由，</w:t>
            </w:r>
            <w:proofErr w:type="gramStart"/>
            <w:r w:rsidRPr="00832B68">
              <w:rPr>
                <w:rFonts w:ascii="微軟正黑體" w:eastAsia="微軟正黑體" w:hAnsi="微軟正黑體" w:cs="新細明體" w:hint="eastAsia"/>
                <w:color w:val="464646"/>
                <w:kern w:val="0"/>
                <w:sz w:val="18"/>
                <w:szCs w:val="18"/>
              </w:rPr>
              <w:t>一</w:t>
            </w:r>
            <w:proofErr w:type="gramEnd"/>
            <w:r w:rsidRPr="00832B68">
              <w:rPr>
                <w:rFonts w:ascii="微軟正黑體" w:eastAsia="微軟正黑體" w:hAnsi="微軟正黑體" w:cs="新細明體" w:hint="eastAsia"/>
                <w:color w:val="464646"/>
                <w:kern w:val="0"/>
                <w:sz w:val="18"/>
                <w:szCs w:val="18"/>
              </w:rPr>
              <w:t>年內經3次限期改善，仍違反上述法規，已符空氣污染防制法第82條所定情節重大情形。</w:t>
            </w:r>
          </w:p>
        </w:tc>
        <w:tc>
          <w:tcPr>
            <w:tcW w:w="1080" w:type="dxa"/>
            <w:tcBorders>
              <w:top w:val="nil"/>
              <w:left w:val="nil"/>
              <w:bottom w:val="single" w:sz="4" w:space="0" w:color="203764"/>
              <w:right w:val="double" w:sz="6" w:space="0" w:color="203764"/>
            </w:tcBorders>
            <w:shd w:val="clear" w:color="auto" w:fill="auto"/>
            <w:noWrap/>
            <w:vAlign w:val="center"/>
            <w:hideMark/>
          </w:tcPr>
          <w:p w14:paraId="2593ADB4" w14:textId="77777777" w:rsidR="001B6655" w:rsidRPr="00832B68" w:rsidRDefault="001B6655" w:rsidP="009A1C59">
            <w:pPr>
              <w:widowControl/>
              <w:jc w:val="center"/>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100萬</w:t>
            </w:r>
          </w:p>
        </w:tc>
      </w:tr>
      <w:tr w:rsidR="001B6655" w:rsidRPr="00832B68" w14:paraId="284C75C7" w14:textId="77777777" w:rsidTr="009A1C59">
        <w:trPr>
          <w:trHeight w:val="510"/>
        </w:trPr>
        <w:tc>
          <w:tcPr>
            <w:tcW w:w="820" w:type="dxa"/>
            <w:vMerge/>
            <w:tcBorders>
              <w:top w:val="nil"/>
              <w:left w:val="double" w:sz="6" w:space="0" w:color="203764"/>
              <w:bottom w:val="double" w:sz="6" w:space="0" w:color="203764"/>
              <w:right w:val="single" w:sz="4" w:space="0" w:color="203764"/>
            </w:tcBorders>
            <w:vAlign w:val="center"/>
            <w:hideMark/>
          </w:tcPr>
          <w:p w14:paraId="7A381FDF" w14:textId="77777777" w:rsidR="001B6655" w:rsidRPr="00832B68" w:rsidRDefault="001B6655" w:rsidP="009A1C59">
            <w:pPr>
              <w:widowControl/>
              <w:rPr>
                <w:rFonts w:ascii="微軟正黑體" w:eastAsia="微軟正黑體" w:hAnsi="微軟正黑體" w:cs="新細明體"/>
                <w:b/>
                <w:bCs/>
                <w:color w:val="FFFFFF"/>
                <w:kern w:val="0"/>
                <w:sz w:val="18"/>
                <w:szCs w:val="18"/>
              </w:rPr>
            </w:pPr>
          </w:p>
        </w:tc>
        <w:tc>
          <w:tcPr>
            <w:tcW w:w="1360" w:type="dxa"/>
            <w:tcBorders>
              <w:top w:val="nil"/>
              <w:left w:val="nil"/>
              <w:bottom w:val="single" w:sz="4" w:space="0" w:color="203764"/>
              <w:right w:val="single" w:sz="4" w:space="0" w:color="203764"/>
            </w:tcBorders>
            <w:shd w:val="clear" w:color="auto" w:fill="auto"/>
            <w:noWrap/>
            <w:vAlign w:val="center"/>
            <w:hideMark/>
          </w:tcPr>
          <w:p w14:paraId="562BB6D4"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2017年6月</w:t>
            </w:r>
          </w:p>
        </w:tc>
        <w:tc>
          <w:tcPr>
            <w:tcW w:w="5940" w:type="dxa"/>
            <w:tcBorders>
              <w:top w:val="nil"/>
              <w:left w:val="nil"/>
              <w:bottom w:val="single" w:sz="4" w:space="0" w:color="203764"/>
              <w:right w:val="single" w:sz="4" w:space="0" w:color="203764"/>
            </w:tcBorders>
            <w:shd w:val="clear" w:color="auto" w:fill="auto"/>
            <w:vAlign w:val="center"/>
            <w:hideMark/>
          </w:tcPr>
          <w:p w14:paraId="6611D6ED"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該公司M01製程違反「空氣污染防制法」第20條第1項規定，並依「空氣污染防制法」第56條及第82條規定裁處。</w:t>
            </w:r>
          </w:p>
        </w:tc>
        <w:tc>
          <w:tcPr>
            <w:tcW w:w="1080" w:type="dxa"/>
            <w:tcBorders>
              <w:top w:val="nil"/>
              <w:left w:val="nil"/>
              <w:bottom w:val="single" w:sz="4" w:space="0" w:color="203764"/>
              <w:right w:val="double" w:sz="6" w:space="0" w:color="203764"/>
            </w:tcBorders>
            <w:shd w:val="clear" w:color="auto" w:fill="auto"/>
            <w:noWrap/>
            <w:vAlign w:val="center"/>
            <w:hideMark/>
          </w:tcPr>
          <w:p w14:paraId="556F4239" w14:textId="77777777" w:rsidR="001B6655" w:rsidRPr="00832B68" w:rsidRDefault="001B6655" w:rsidP="009A1C59">
            <w:pPr>
              <w:widowControl/>
              <w:jc w:val="center"/>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100萬</w:t>
            </w:r>
          </w:p>
        </w:tc>
      </w:tr>
      <w:tr w:rsidR="001B6655" w:rsidRPr="00832B68" w14:paraId="3C7B519C" w14:textId="77777777" w:rsidTr="009A1C59">
        <w:trPr>
          <w:trHeight w:val="390"/>
        </w:trPr>
        <w:tc>
          <w:tcPr>
            <w:tcW w:w="820" w:type="dxa"/>
            <w:vMerge/>
            <w:tcBorders>
              <w:top w:val="nil"/>
              <w:left w:val="double" w:sz="6" w:space="0" w:color="203764"/>
              <w:bottom w:val="double" w:sz="6" w:space="0" w:color="203764"/>
              <w:right w:val="single" w:sz="4" w:space="0" w:color="203764"/>
            </w:tcBorders>
            <w:vAlign w:val="center"/>
            <w:hideMark/>
          </w:tcPr>
          <w:p w14:paraId="184F0A71" w14:textId="77777777" w:rsidR="001B6655" w:rsidRPr="00832B68" w:rsidRDefault="001B6655" w:rsidP="009A1C59">
            <w:pPr>
              <w:widowControl/>
              <w:rPr>
                <w:rFonts w:ascii="微軟正黑體" w:eastAsia="微軟正黑體" w:hAnsi="微軟正黑體" w:cs="新細明體"/>
                <w:b/>
                <w:bCs/>
                <w:color w:val="FFFFFF"/>
                <w:kern w:val="0"/>
                <w:sz w:val="18"/>
                <w:szCs w:val="18"/>
              </w:rPr>
            </w:pPr>
          </w:p>
        </w:tc>
        <w:tc>
          <w:tcPr>
            <w:tcW w:w="1360" w:type="dxa"/>
            <w:tcBorders>
              <w:top w:val="nil"/>
              <w:left w:val="nil"/>
              <w:bottom w:val="double" w:sz="6" w:space="0" w:color="203764"/>
              <w:right w:val="single" w:sz="4" w:space="0" w:color="203764"/>
            </w:tcBorders>
            <w:shd w:val="clear" w:color="auto" w:fill="auto"/>
            <w:noWrap/>
            <w:vAlign w:val="center"/>
            <w:hideMark/>
          </w:tcPr>
          <w:p w14:paraId="2B505EE7"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2017</w:t>
            </w:r>
            <w:r w:rsidRPr="00832B68">
              <w:rPr>
                <w:rFonts w:ascii="細明體" w:eastAsia="細明體" w:hAnsi="細明體" w:cs="新細明體" w:hint="eastAsia"/>
                <w:color w:val="464646"/>
                <w:kern w:val="0"/>
                <w:sz w:val="18"/>
                <w:szCs w:val="18"/>
              </w:rPr>
              <w:t>年</w:t>
            </w:r>
            <w:r w:rsidRPr="00832B68">
              <w:rPr>
                <w:rFonts w:ascii="Arial" w:eastAsia="微軟正黑體" w:hAnsi="Arial" w:cs="Arial"/>
                <w:color w:val="464646"/>
                <w:kern w:val="0"/>
                <w:sz w:val="18"/>
                <w:szCs w:val="18"/>
              </w:rPr>
              <w:t>9</w:t>
            </w:r>
            <w:r w:rsidRPr="00832B68">
              <w:rPr>
                <w:rFonts w:ascii="細明體" w:eastAsia="細明體" w:hAnsi="細明體" w:cs="新細明體" w:hint="eastAsia"/>
                <w:color w:val="464646"/>
                <w:kern w:val="0"/>
                <w:sz w:val="18"/>
                <w:szCs w:val="18"/>
              </w:rPr>
              <w:t>月</w:t>
            </w:r>
          </w:p>
        </w:tc>
        <w:tc>
          <w:tcPr>
            <w:tcW w:w="5940" w:type="dxa"/>
            <w:tcBorders>
              <w:top w:val="nil"/>
              <w:left w:val="nil"/>
              <w:bottom w:val="double" w:sz="6" w:space="0" w:color="203764"/>
              <w:right w:val="single" w:sz="4" w:space="0" w:color="203764"/>
            </w:tcBorders>
            <w:shd w:val="clear" w:color="auto" w:fill="auto"/>
            <w:vAlign w:val="center"/>
            <w:hideMark/>
          </w:tcPr>
          <w:p w14:paraId="45559331" w14:textId="77777777" w:rsidR="001B6655" w:rsidRPr="00832B68" w:rsidRDefault="001B6655" w:rsidP="009A1C59">
            <w:pPr>
              <w:widowControl/>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M01製程，違反「空氣污染防制法」第20條第1項規定。</w:t>
            </w:r>
          </w:p>
        </w:tc>
        <w:tc>
          <w:tcPr>
            <w:tcW w:w="1080" w:type="dxa"/>
            <w:tcBorders>
              <w:top w:val="nil"/>
              <w:left w:val="nil"/>
              <w:bottom w:val="double" w:sz="6" w:space="0" w:color="203764"/>
              <w:right w:val="double" w:sz="6" w:space="0" w:color="203764"/>
            </w:tcBorders>
            <w:shd w:val="clear" w:color="auto" w:fill="auto"/>
            <w:noWrap/>
            <w:vAlign w:val="center"/>
            <w:hideMark/>
          </w:tcPr>
          <w:p w14:paraId="7EFC9F61" w14:textId="77777777" w:rsidR="001B6655" w:rsidRPr="00832B68" w:rsidRDefault="001B6655" w:rsidP="009A1C59">
            <w:pPr>
              <w:widowControl/>
              <w:jc w:val="center"/>
              <w:rPr>
                <w:rFonts w:ascii="微軟正黑體" w:eastAsia="微軟正黑體" w:hAnsi="微軟正黑體" w:cs="新細明體"/>
                <w:color w:val="464646"/>
                <w:kern w:val="0"/>
                <w:sz w:val="18"/>
                <w:szCs w:val="18"/>
              </w:rPr>
            </w:pPr>
            <w:r w:rsidRPr="00832B68">
              <w:rPr>
                <w:rFonts w:ascii="微軟正黑體" w:eastAsia="微軟正黑體" w:hAnsi="微軟正黑體" w:cs="新細明體" w:hint="eastAsia"/>
                <w:color w:val="464646"/>
                <w:kern w:val="0"/>
                <w:sz w:val="18"/>
                <w:szCs w:val="18"/>
              </w:rPr>
              <w:t>100萬</w:t>
            </w:r>
          </w:p>
        </w:tc>
      </w:tr>
    </w:tbl>
    <w:p w14:paraId="4DD112A0" w14:textId="1EAB54E1" w:rsidR="001B6655" w:rsidRPr="001B6655" w:rsidRDefault="001B6655" w:rsidP="00E52AD4">
      <w:pPr>
        <w:rPr>
          <w:rFonts w:ascii="標楷體" w:eastAsia="標楷體" w:hAnsi="標楷體"/>
          <w:b/>
          <w:sz w:val="28"/>
          <w:bdr w:val="single" w:sz="4" w:space="0" w:color="auto"/>
        </w:rPr>
      </w:pPr>
      <w:r>
        <w:rPr>
          <w:noProof/>
        </w:rPr>
        <w:drawing>
          <wp:inline distT="0" distB="0" distL="0" distR="0" wp14:anchorId="2DE3FD4D" wp14:editId="1E794A57">
            <wp:extent cx="6199465" cy="341619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表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4289" cy="3418857"/>
                    </a:xfrm>
                    <a:prstGeom prst="rect">
                      <a:avLst/>
                    </a:prstGeom>
                  </pic:spPr>
                </pic:pic>
              </a:graphicData>
            </a:graphic>
          </wp:inline>
        </w:drawing>
      </w:r>
    </w:p>
    <w:sectPr w:rsidR="001B6655" w:rsidRPr="001B6655" w:rsidSect="001B6655">
      <w:pgSz w:w="11906" w:h="16838" w:code="9"/>
      <w:pgMar w:top="851" w:right="851" w:bottom="851" w:left="851" w:header="851" w:footer="851"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E0C63" w14:textId="77777777" w:rsidR="009A34B0" w:rsidRDefault="009A34B0" w:rsidP="009B5A71">
      <w:r>
        <w:separator/>
      </w:r>
    </w:p>
  </w:endnote>
  <w:endnote w:type="continuationSeparator" w:id="0">
    <w:p w14:paraId="58500ECE" w14:textId="77777777" w:rsidR="009A34B0" w:rsidRDefault="009A34B0" w:rsidP="009B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2DEEB" w14:textId="008C9C9A" w:rsidR="00C21201" w:rsidRPr="00C21201" w:rsidRDefault="00C21201" w:rsidP="00C21201">
    <w:pPr>
      <w:pStyle w:val="a5"/>
      <w:spacing w:before="120" w:after="120"/>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52027" w14:textId="77777777" w:rsidR="009A34B0" w:rsidRDefault="009A34B0" w:rsidP="009B5A71">
      <w:r>
        <w:separator/>
      </w:r>
    </w:p>
  </w:footnote>
  <w:footnote w:type="continuationSeparator" w:id="0">
    <w:p w14:paraId="3F22F5BC" w14:textId="77777777" w:rsidR="009A34B0" w:rsidRDefault="009A34B0" w:rsidP="009B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1293A" w14:textId="092EC1A0" w:rsidR="0024541C" w:rsidRPr="0024541C" w:rsidRDefault="0024541C" w:rsidP="0024541C">
    <w:pPr>
      <w:pStyle w:val="a3"/>
      <w:tabs>
        <w:tab w:val="left" w:pos="1134"/>
      </w:tabs>
      <w:rPr>
        <w:rFonts w:ascii="標楷體" w:eastAsia="標楷體" w:hAnsi="標楷體"/>
        <w:sz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16650"/>
    <w:multiLevelType w:val="hybridMultilevel"/>
    <w:tmpl w:val="E836F94A"/>
    <w:lvl w:ilvl="0" w:tplc="B8D690E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C78EB"/>
    <w:multiLevelType w:val="hybridMultilevel"/>
    <w:tmpl w:val="985446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A066A1"/>
    <w:multiLevelType w:val="hybridMultilevel"/>
    <w:tmpl w:val="18746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680640"/>
    <w:multiLevelType w:val="hybridMultilevel"/>
    <w:tmpl w:val="985446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38"/>
    <w:rsid w:val="00012B74"/>
    <w:rsid w:val="00063B62"/>
    <w:rsid w:val="00084655"/>
    <w:rsid w:val="000B3F38"/>
    <w:rsid w:val="001233B0"/>
    <w:rsid w:val="00124444"/>
    <w:rsid w:val="001327D9"/>
    <w:rsid w:val="00182D0F"/>
    <w:rsid w:val="001B6655"/>
    <w:rsid w:val="00233E08"/>
    <w:rsid w:val="0024541C"/>
    <w:rsid w:val="0027559A"/>
    <w:rsid w:val="002C2539"/>
    <w:rsid w:val="002C5C84"/>
    <w:rsid w:val="002E7DA1"/>
    <w:rsid w:val="0031220F"/>
    <w:rsid w:val="0034585B"/>
    <w:rsid w:val="00367756"/>
    <w:rsid w:val="00385BD3"/>
    <w:rsid w:val="003F006A"/>
    <w:rsid w:val="003F1E66"/>
    <w:rsid w:val="0040055B"/>
    <w:rsid w:val="0040789C"/>
    <w:rsid w:val="00460D83"/>
    <w:rsid w:val="00481AC9"/>
    <w:rsid w:val="0048476E"/>
    <w:rsid w:val="00491BCA"/>
    <w:rsid w:val="004A23C4"/>
    <w:rsid w:val="004A4AC6"/>
    <w:rsid w:val="004A51CA"/>
    <w:rsid w:val="004C39FF"/>
    <w:rsid w:val="005316B6"/>
    <w:rsid w:val="00537169"/>
    <w:rsid w:val="005565C6"/>
    <w:rsid w:val="00566187"/>
    <w:rsid w:val="0057375A"/>
    <w:rsid w:val="00582911"/>
    <w:rsid w:val="005E5E71"/>
    <w:rsid w:val="005F2352"/>
    <w:rsid w:val="00604AD6"/>
    <w:rsid w:val="00605160"/>
    <w:rsid w:val="00606040"/>
    <w:rsid w:val="00611831"/>
    <w:rsid w:val="00624914"/>
    <w:rsid w:val="00631029"/>
    <w:rsid w:val="00631624"/>
    <w:rsid w:val="00640F2D"/>
    <w:rsid w:val="006469F0"/>
    <w:rsid w:val="00647BB0"/>
    <w:rsid w:val="00652233"/>
    <w:rsid w:val="00676512"/>
    <w:rsid w:val="00677C77"/>
    <w:rsid w:val="006B67AB"/>
    <w:rsid w:val="006C3EB3"/>
    <w:rsid w:val="006D3B5D"/>
    <w:rsid w:val="007236DD"/>
    <w:rsid w:val="00734946"/>
    <w:rsid w:val="007A37A4"/>
    <w:rsid w:val="007A4824"/>
    <w:rsid w:val="007E1400"/>
    <w:rsid w:val="0081190A"/>
    <w:rsid w:val="00861F7B"/>
    <w:rsid w:val="00880E25"/>
    <w:rsid w:val="0088434B"/>
    <w:rsid w:val="00886E82"/>
    <w:rsid w:val="008E7F06"/>
    <w:rsid w:val="00901E40"/>
    <w:rsid w:val="0090575B"/>
    <w:rsid w:val="009576B2"/>
    <w:rsid w:val="009900C4"/>
    <w:rsid w:val="009A0504"/>
    <w:rsid w:val="009A34B0"/>
    <w:rsid w:val="009B37E2"/>
    <w:rsid w:val="009B5A71"/>
    <w:rsid w:val="009D76D3"/>
    <w:rsid w:val="009F1B4A"/>
    <w:rsid w:val="00A30A32"/>
    <w:rsid w:val="00A40834"/>
    <w:rsid w:val="00A82A70"/>
    <w:rsid w:val="00A919F5"/>
    <w:rsid w:val="00AF5C6E"/>
    <w:rsid w:val="00AF6D62"/>
    <w:rsid w:val="00AF6E87"/>
    <w:rsid w:val="00B83664"/>
    <w:rsid w:val="00B932B7"/>
    <w:rsid w:val="00BE037C"/>
    <w:rsid w:val="00BE279D"/>
    <w:rsid w:val="00BF7917"/>
    <w:rsid w:val="00C21201"/>
    <w:rsid w:val="00C55278"/>
    <w:rsid w:val="00C91BC8"/>
    <w:rsid w:val="00CB164C"/>
    <w:rsid w:val="00CE50E4"/>
    <w:rsid w:val="00CF22AD"/>
    <w:rsid w:val="00D02041"/>
    <w:rsid w:val="00D67AF5"/>
    <w:rsid w:val="00D73E8B"/>
    <w:rsid w:val="00DC035F"/>
    <w:rsid w:val="00E031F6"/>
    <w:rsid w:val="00E04E55"/>
    <w:rsid w:val="00E05EB0"/>
    <w:rsid w:val="00E52AD4"/>
    <w:rsid w:val="00E62EC8"/>
    <w:rsid w:val="00E633A0"/>
    <w:rsid w:val="00E7746C"/>
    <w:rsid w:val="00E77E18"/>
    <w:rsid w:val="00E9557F"/>
    <w:rsid w:val="00E969FC"/>
    <w:rsid w:val="00EA0214"/>
    <w:rsid w:val="00EA4645"/>
    <w:rsid w:val="00EC5DAB"/>
    <w:rsid w:val="00F078B6"/>
    <w:rsid w:val="00F23D8E"/>
    <w:rsid w:val="00F93D70"/>
    <w:rsid w:val="00FE469C"/>
    <w:rsid w:val="00FE64C7"/>
    <w:rsid w:val="00FE71B8"/>
    <w:rsid w:val="00FF14C3"/>
    <w:rsid w:val="00FF45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494B"/>
  <w15:chartTrackingRefBased/>
  <w15:docId w15:val="{587B8204-B922-445A-89B0-C78D29B3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A71"/>
    <w:pPr>
      <w:tabs>
        <w:tab w:val="center" w:pos="4153"/>
        <w:tab w:val="right" w:pos="8306"/>
      </w:tabs>
      <w:snapToGrid w:val="0"/>
    </w:pPr>
    <w:rPr>
      <w:sz w:val="20"/>
      <w:szCs w:val="20"/>
    </w:rPr>
  </w:style>
  <w:style w:type="character" w:customStyle="1" w:styleId="a4">
    <w:name w:val="頁首 字元"/>
    <w:basedOn w:val="a0"/>
    <w:link w:val="a3"/>
    <w:uiPriority w:val="99"/>
    <w:rsid w:val="009B5A71"/>
    <w:rPr>
      <w:sz w:val="20"/>
      <w:szCs w:val="20"/>
    </w:rPr>
  </w:style>
  <w:style w:type="paragraph" w:styleId="a5">
    <w:name w:val="footer"/>
    <w:basedOn w:val="a"/>
    <w:link w:val="a6"/>
    <w:uiPriority w:val="99"/>
    <w:unhideWhenUsed/>
    <w:rsid w:val="009B5A71"/>
    <w:pPr>
      <w:tabs>
        <w:tab w:val="center" w:pos="4153"/>
        <w:tab w:val="right" w:pos="8306"/>
      </w:tabs>
      <w:snapToGrid w:val="0"/>
    </w:pPr>
    <w:rPr>
      <w:sz w:val="20"/>
      <w:szCs w:val="20"/>
    </w:rPr>
  </w:style>
  <w:style w:type="character" w:customStyle="1" w:styleId="a6">
    <w:name w:val="頁尾 字元"/>
    <w:basedOn w:val="a0"/>
    <w:link w:val="a5"/>
    <w:uiPriority w:val="99"/>
    <w:rsid w:val="009B5A71"/>
    <w:rPr>
      <w:sz w:val="20"/>
      <w:szCs w:val="20"/>
    </w:rPr>
  </w:style>
  <w:style w:type="paragraph" w:styleId="a7">
    <w:name w:val="List Paragraph"/>
    <w:basedOn w:val="a"/>
    <w:uiPriority w:val="34"/>
    <w:qFormat/>
    <w:rsid w:val="009B5A71"/>
    <w:pPr>
      <w:ind w:leftChars="200" w:left="480"/>
    </w:pPr>
  </w:style>
  <w:style w:type="table" w:styleId="a8">
    <w:name w:val="Table Grid"/>
    <w:basedOn w:val="a1"/>
    <w:uiPriority w:val="39"/>
    <w:rsid w:val="00D6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1E4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1E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21201"/>
    <w:rPr>
      <w:sz w:val="18"/>
      <w:szCs w:val="18"/>
    </w:rPr>
  </w:style>
  <w:style w:type="paragraph" w:styleId="ac">
    <w:name w:val="annotation text"/>
    <w:basedOn w:val="a"/>
    <w:link w:val="ad"/>
    <w:uiPriority w:val="99"/>
    <w:semiHidden/>
    <w:unhideWhenUsed/>
    <w:rsid w:val="00C21201"/>
  </w:style>
  <w:style w:type="character" w:customStyle="1" w:styleId="ad">
    <w:name w:val="註解文字 字元"/>
    <w:basedOn w:val="a0"/>
    <w:link w:val="ac"/>
    <w:uiPriority w:val="99"/>
    <w:semiHidden/>
    <w:rsid w:val="00C21201"/>
  </w:style>
  <w:style w:type="paragraph" w:styleId="ae">
    <w:name w:val="annotation subject"/>
    <w:basedOn w:val="ac"/>
    <w:next w:val="ac"/>
    <w:link w:val="af"/>
    <w:uiPriority w:val="99"/>
    <w:semiHidden/>
    <w:unhideWhenUsed/>
    <w:rsid w:val="00C21201"/>
    <w:rPr>
      <w:b/>
      <w:bCs/>
    </w:rPr>
  </w:style>
  <w:style w:type="character" w:customStyle="1" w:styleId="af">
    <w:name w:val="註解主旨 字元"/>
    <w:basedOn w:val="ad"/>
    <w:link w:val="ae"/>
    <w:uiPriority w:val="99"/>
    <w:semiHidden/>
    <w:rsid w:val="00C21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40510">
      <w:bodyDiv w:val="1"/>
      <w:marLeft w:val="0"/>
      <w:marRight w:val="0"/>
      <w:marTop w:val="0"/>
      <w:marBottom w:val="0"/>
      <w:divBdr>
        <w:top w:val="none" w:sz="0" w:space="0" w:color="auto"/>
        <w:left w:val="none" w:sz="0" w:space="0" w:color="auto"/>
        <w:bottom w:val="none" w:sz="0" w:space="0" w:color="auto"/>
        <w:right w:val="none" w:sz="0" w:space="0" w:color="auto"/>
      </w:divBdr>
    </w:div>
    <w:div w:id="1661081975">
      <w:bodyDiv w:val="1"/>
      <w:marLeft w:val="0"/>
      <w:marRight w:val="0"/>
      <w:marTop w:val="0"/>
      <w:marBottom w:val="0"/>
      <w:divBdr>
        <w:top w:val="none" w:sz="0" w:space="0" w:color="auto"/>
        <w:left w:val="none" w:sz="0" w:space="0" w:color="auto"/>
        <w:bottom w:val="none" w:sz="0" w:space="0" w:color="auto"/>
        <w:right w:val="none" w:sz="0" w:space="0" w:color="auto"/>
      </w:divBdr>
    </w:div>
    <w:div w:id="1804343749">
      <w:bodyDiv w:val="1"/>
      <w:marLeft w:val="0"/>
      <w:marRight w:val="0"/>
      <w:marTop w:val="0"/>
      <w:marBottom w:val="0"/>
      <w:divBdr>
        <w:top w:val="none" w:sz="0" w:space="0" w:color="auto"/>
        <w:left w:val="none" w:sz="0" w:space="0" w:color="auto"/>
        <w:bottom w:val="none" w:sz="0" w:space="0" w:color="auto"/>
        <w:right w:val="none" w:sz="0" w:space="0" w:color="auto"/>
      </w:divBdr>
    </w:div>
    <w:div w:id="20066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ERFPC106</dc:creator>
  <cp:keywords/>
  <dc:description/>
  <cp:lastModifiedBy>Cora</cp:lastModifiedBy>
  <cp:revision>2</cp:revision>
  <cp:lastPrinted>2017-12-21T03:30:00Z</cp:lastPrinted>
  <dcterms:created xsi:type="dcterms:W3CDTF">2017-12-21T07:20:00Z</dcterms:created>
  <dcterms:modified xsi:type="dcterms:W3CDTF">2017-12-21T07:20:00Z</dcterms:modified>
</cp:coreProperties>
</file>