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4335" w:rsidRDefault="00244DB2" w:rsidP="00844335">
      <w:pPr>
        <w:spacing w:line="500" w:lineRule="exact"/>
        <w:jc w:val="center"/>
        <w:rPr>
          <w:rFonts w:ascii="標楷體" w:eastAsia="標楷體" w:hAnsi="標楷體"/>
          <w:b/>
          <w:sz w:val="32"/>
        </w:rPr>
      </w:pPr>
      <w:r>
        <w:rPr>
          <w:rFonts w:ascii="標楷體" w:eastAsia="標楷體" w:hAnsi="標楷體" w:hint="eastAsia"/>
          <w:b/>
          <w:sz w:val="32"/>
        </w:rPr>
        <w:t>高</w:t>
      </w:r>
      <w:r w:rsidR="00844335">
        <w:rPr>
          <w:rFonts w:ascii="標楷體" w:eastAsia="標楷體" w:hAnsi="標楷體" w:hint="eastAsia"/>
          <w:b/>
          <w:sz w:val="32"/>
        </w:rPr>
        <w:t>雄市環境維護管理自治條例</w:t>
      </w:r>
    </w:p>
    <w:p w:rsidR="00844335" w:rsidRDefault="00844335" w:rsidP="00844335">
      <w:pPr>
        <w:spacing w:line="500" w:lineRule="exact"/>
        <w:jc w:val="center"/>
        <w:rPr>
          <w:rFonts w:ascii="標楷體" w:eastAsia="標楷體" w:hAnsi="標楷體"/>
          <w:b/>
          <w:sz w:val="32"/>
        </w:rPr>
      </w:pPr>
      <w:r>
        <w:rPr>
          <w:rFonts w:ascii="標楷體" w:eastAsia="標楷體" w:hAnsi="標楷體" w:hint="eastAsia"/>
          <w:b/>
          <w:sz w:val="32"/>
        </w:rPr>
        <w:t>第十四條之一、第二十三條之一修正草案總說明</w:t>
      </w:r>
    </w:p>
    <w:p w:rsidR="00844335" w:rsidRDefault="00844335" w:rsidP="00844335">
      <w:pPr>
        <w:spacing w:line="500" w:lineRule="exact"/>
        <w:rPr>
          <w:rFonts w:ascii="標楷體" w:eastAsia="標楷體" w:hAnsi="標楷體"/>
          <w:sz w:val="32"/>
          <w:szCs w:val="28"/>
        </w:rPr>
      </w:pPr>
      <w:r>
        <w:rPr>
          <w:rFonts w:ascii="標楷體" w:eastAsia="標楷體" w:hAnsi="標楷體" w:hint="eastAsia"/>
          <w:sz w:val="32"/>
          <w:szCs w:val="28"/>
        </w:rPr>
        <w:t>鑒於本市為工業重鎮，民眾陳情工廠異味頻繁，為提升本市轄內加工出口區、科學園區或工業區周界監測量能，使開發單位對其園區內公私場所製程操作之空氣污染防制作為能有效掌握，針對加工出口區、科學園區或工業區內屬中央環境保護主管機關規定特殊性工業行業類別之公私場所，其合計基地面積超過總基地面積一定比例者，開發單位應訂定空氣品質監測設施設置計畫，並經主管機關審核通過後據以執行。</w:t>
      </w:r>
    </w:p>
    <w:p w:rsidR="00844335" w:rsidRDefault="00844335" w:rsidP="00844335">
      <w:pPr>
        <w:widowControl/>
      </w:pPr>
      <w:r>
        <w:rPr>
          <w:kern w:val="0"/>
        </w:rPr>
        <w:br w:type="page"/>
      </w:r>
    </w:p>
    <w:p w:rsidR="00844335" w:rsidRDefault="00844335" w:rsidP="00844335">
      <w:pPr>
        <w:spacing w:line="500" w:lineRule="exact"/>
        <w:jc w:val="center"/>
        <w:rPr>
          <w:rFonts w:ascii="標楷體" w:eastAsia="標楷體" w:hAnsi="標楷體"/>
          <w:b/>
          <w:sz w:val="32"/>
        </w:rPr>
      </w:pPr>
      <w:r>
        <w:rPr>
          <w:rFonts w:ascii="標楷體" w:eastAsia="標楷體" w:hAnsi="標楷體" w:hint="eastAsia"/>
          <w:b/>
          <w:sz w:val="32"/>
        </w:rPr>
        <w:lastRenderedPageBreak/>
        <w:t>高雄市環境維護管理自治條例</w:t>
      </w:r>
    </w:p>
    <w:p w:rsidR="00844335" w:rsidRDefault="00844335" w:rsidP="00844335">
      <w:pPr>
        <w:spacing w:line="500" w:lineRule="exact"/>
        <w:jc w:val="center"/>
        <w:rPr>
          <w:rFonts w:ascii="標楷體" w:eastAsia="標楷體" w:hAnsi="標楷體"/>
          <w:b/>
          <w:sz w:val="32"/>
        </w:rPr>
      </w:pPr>
      <w:r>
        <w:rPr>
          <w:rFonts w:ascii="標楷體" w:eastAsia="標楷體" w:hAnsi="標楷體" w:hint="eastAsia"/>
          <w:b/>
          <w:sz w:val="32"/>
        </w:rPr>
        <w:t>第十四條之一及第二十三條之一修正草案對照表</w:t>
      </w:r>
    </w:p>
    <w:tbl>
      <w:tblPr>
        <w:tblStyle w:val="a4"/>
        <w:tblW w:w="0" w:type="auto"/>
        <w:tblInd w:w="0" w:type="dxa"/>
        <w:tblLook w:val="04A0" w:firstRow="1" w:lastRow="0" w:firstColumn="1" w:lastColumn="0" w:noHBand="0" w:noVBand="1"/>
      </w:tblPr>
      <w:tblGrid>
        <w:gridCol w:w="3339"/>
        <w:gridCol w:w="2185"/>
        <w:gridCol w:w="2772"/>
      </w:tblGrid>
      <w:tr w:rsidR="00844335" w:rsidTr="00844335">
        <w:tc>
          <w:tcPr>
            <w:tcW w:w="3369" w:type="dxa"/>
            <w:tcBorders>
              <w:top w:val="single" w:sz="4" w:space="0" w:color="auto"/>
              <w:left w:val="single" w:sz="4" w:space="0" w:color="auto"/>
              <w:bottom w:val="single" w:sz="4" w:space="0" w:color="auto"/>
              <w:right w:val="single" w:sz="4" w:space="0" w:color="auto"/>
            </w:tcBorders>
            <w:vAlign w:val="center"/>
            <w:hideMark/>
          </w:tcPr>
          <w:p w:rsidR="00844335" w:rsidRDefault="00844335">
            <w:pPr>
              <w:spacing w:line="500" w:lineRule="exact"/>
              <w:jc w:val="center"/>
              <w:rPr>
                <w:rFonts w:ascii="標楷體" w:eastAsia="標楷體" w:hAnsi="標楷體"/>
                <w:sz w:val="28"/>
                <w:szCs w:val="28"/>
              </w:rPr>
            </w:pPr>
            <w:r>
              <w:rPr>
                <w:rFonts w:ascii="標楷體" w:eastAsia="標楷體" w:hAnsi="標楷體" w:hint="eastAsia"/>
                <w:sz w:val="28"/>
                <w:szCs w:val="28"/>
              </w:rPr>
              <w:br w:type="page"/>
              <w:t>修正條文</w:t>
            </w:r>
          </w:p>
        </w:tc>
        <w:tc>
          <w:tcPr>
            <w:tcW w:w="2205" w:type="dxa"/>
            <w:tcBorders>
              <w:top w:val="single" w:sz="4" w:space="0" w:color="auto"/>
              <w:left w:val="single" w:sz="4" w:space="0" w:color="auto"/>
              <w:bottom w:val="single" w:sz="4" w:space="0" w:color="auto"/>
              <w:right w:val="single" w:sz="4" w:space="0" w:color="auto"/>
            </w:tcBorders>
            <w:vAlign w:val="center"/>
            <w:hideMark/>
          </w:tcPr>
          <w:p w:rsidR="00844335" w:rsidRDefault="00844335">
            <w:pPr>
              <w:spacing w:line="500" w:lineRule="exact"/>
              <w:jc w:val="center"/>
              <w:rPr>
                <w:rFonts w:ascii="標楷體" w:eastAsia="標楷體" w:hAnsi="標楷體"/>
                <w:sz w:val="28"/>
                <w:szCs w:val="28"/>
              </w:rPr>
            </w:pPr>
            <w:r>
              <w:rPr>
                <w:rFonts w:ascii="標楷體" w:eastAsia="標楷體" w:hAnsi="標楷體" w:hint="eastAsia"/>
                <w:sz w:val="28"/>
                <w:szCs w:val="28"/>
              </w:rPr>
              <w:t>現行條文</w:t>
            </w:r>
          </w:p>
        </w:tc>
        <w:tc>
          <w:tcPr>
            <w:tcW w:w="2788" w:type="dxa"/>
            <w:tcBorders>
              <w:top w:val="single" w:sz="4" w:space="0" w:color="auto"/>
              <w:left w:val="single" w:sz="4" w:space="0" w:color="auto"/>
              <w:bottom w:val="single" w:sz="4" w:space="0" w:color="auto"/>
              <w:right w:val="single" w:sz="4" w:space="0" w:color="auto"/>
            </w:tcBorders>
            <w:vAlign w:val="center"/>
            <w:hideMark/>
          </w:tcPr>
          <w:p w:rsidR="00844335" w:rsidRDefault="00844335">
            <w:pPr>
              <w:spacing w:line="500" w:lineRule="exact"/>
              <w:jc w:val="center"/>
              <w:rPr>
                <w:rFonts w:ascii="標楷體" w:eastAsia="標楷體" w:hAnsi="標楷體"/>
                <w:sz w:val="28"/>
                <w:szCs w:val="28"/>
              </w:rPr>
            </w:pPr>
            <w:r>
              <w:rPr>
                <w:rFonts w:ascii="標楷體" w:eastAsia="標楷體" w:hAnsi="標楷體" w:hint="eastAsia"/>
                <w:sz w:val="28"/>
                <w:szCs w:val="28"/>
              </w:rPr>
              <w:t>說明</w:t>
            </w:r>
          </w:p>
        </w:tc>
      </w:tr>
      <w:tr w:rsidR="00844335" w:rsidTr="00844335">
        <w:trPr>
          <w:trHeight w:val="5203"/>
        </w:trPr>
        <w:tc>
          <w:tcPr>
            <w:tcW w:w="3369" w:type="dxa"/>
            <w:tcBorders>
              <w:top w:val="single" w:sz="4" w:space="0" w:color="auto"/>
              <w:left w:val="single" w:sz="4" w:space="0" w:color="auto"/>
              <w:bottom w:val="single" w:sz="4" w:space="0" w:color="auto"/>
              <w:right w:val="single" w:sz="4" w:space="0" w:color="auto"/>
            </w:tcBorders>
            <w:hideMark/>
          </w:tcPr>
          <w:p w:rsidR="00844335" w:rsidRDefault="00844335">
            <w:pPr>
              <w:spacing w:line="500" w:lineRule="exact"/>
              <w:rPr>
                <w:rFonts w:ascii="標楷體" w:eastAsia="標楷體" w:hAnsi="標楷體"/>
                <w:sz w:val="28"/>
                <w:szCs w:val="28"/>
              </w:rPr>
            </w:pPr>
            <w:r>
              <w:rPr>
                <w:rFonts w:ascii="標楷體" w:eastAsia="標楷體" w:hAnsi="標楷體" w:hint="eastAsia"/>
                <w:sz w:val="28"/>
                <w:szCs w:val="28"/>
              </w:rPr>
              <w:t>第十四條之一</w:t>
            </w:r>
          </w:p>
          <w:p w:rsidR="00844335" w:rsidRDefault="00844335">
            <w:pPr>
              <w:spacing w:line="500" w:lineRule="exact"/>
              <w:jc w:val="both"/>
              <w:rPr>
                <w:rFonts w:ascii="標楷體" w:eastAsia="標楷體" w:hAnsi="標楷體"/>
                <w:sz w:val="28"/>
                <w:szCs w:val="28"/>
              </w:rPr>
            </w:pPr>
            <w:r>
              <w:rPr>
                <w:rFonts w:ascii="標楷體" w:eastAsia="標楷體" w:hAnsi="標楷體" w:hint="eastAsia"/>
                <w:sz w:val="28"/>
                <w:szCs w:val="28"/>
              </w:rPr>
              <w:t>本市轄內加工出口區、科學園區或工業區內屬中央環境保護主管機關規定特殊性工業行業類別之公私場所，其合計基地面積超過總基地面積一定比例者，其開發單位應於第二項公告後一年內訂定空氣品質監測設施設置計畫，報請主管機關核定後執行。</w:t>
            </w:r>
          </w:p>
          <w:p w:rsidR="00844335" w:rsidRDefault="00844335">
            <w:pPr>
              <w:spacing w:line="500" w:lineRule="exact"/>
              <w:jc w:val="both"/>
              <w:rPr>
                <w:rFonts w:ascii="標楷體" w:eastAsia="標楷體" w:hAnsi="標楷體"/>
                <w:sz w:val="28"/>
                <w:szCs w:val="28"/>
              </w:rPr>
            </w:pPr>
            <w:r>
              <w:rPr>
                <w:rFonts w:ascii="標楷體" w:eastAsia="標楷體" w:hAnsi="標楷體" w:hint="eastAsia"/>
                <w:sz w:val="28"/>
                <w:szCs w:val="28"/>
              </w:rPr>
              <w:t>前項所稱一定比例及空氣品質監測設施設置計畫之內容、應具備之文件及其他應遵行事項，由主管機關公告之。</w:t>
            </w:r>
          </w:p>
        </w:tc>
        <w:tc>
          <w:tcPr>
            <w:tcW w:w="2205" w:type="dxa"/>
            <w:tcBorders>
              <w:top w:val="single" w:sz="4" w:space="0" w:color="auto"/>
              <w:left w:val="single" w:sz="4" w:space="0" w:color="auto"/>
              <w:bottom w:val="single" w:sz="4" w:space="0" w:color="auto"/>
              <w:right w:val="single" w:sz="4" w:space="0" w:color="auto"/>
            </w:tcBorders>
          </w:tcPr>
          <w:p w:rsidR="00844335" w:rsidRDefault="00844335">
            <w:pPr>
              <w:spacing w:line="500" w:lineRule="exact"/>
              <w:rPr>
                <w:rFonts w:ascii="標楷體" w:eastAsia="標楷體" w:hAnsi="標楷體"/>
                <w:sz w:val="28"/>
                <w:szCs w:val="28"/>
              </w:rPr>
            </w:pPr>
          </w:p>
        </w:tc>
        <w:tc>
          <w:tcPr>
            <w:tcW w:w="2788" w:type="dxa"/>
            <w:tcBorders>
              <w:top w:val="single" w:sz="4" w:space="0" w:color="auto"/>
              <w:left w:val="single" w:sz="4" w:space="0" w:color="auto"/>
              <w:bottom w:val="single" w:sz="4" w:space="0" w:color="auto"/>
              <w:right w:val="single" w:sz="4" w:space="0" w:color="auto"/>
            </w:tcBorders>
            <w:hideMark/>
          </w:tcPr>
          <w:p w:rsidR="00844335" w:rsidRDefault="00844335" w:rsidP="00C029E6">
            <w:pPr>
              <w:pStyle w:val="a3"/>
              <w:numPr>
                <w:ilvl w:val="0"/>
                <w:numId w:val="1"/>
              </w:numPr>
              <w:spacing w:line="500" w:lineRule="exact"/>
              <w:ind w:leftChars="0"/>
              <w:jc w:val="both"/>
              <w:rPr>
                <w:rFonts w:ascii="標楷體" w:eastAsia="標楷體" w:hAnsi="標楷體"/>
                <w:sz w:val="28"/>
                <w:szCs w:val="28"/>
                <w:u w:val="single"/>
              </w:rPr>
            </w:pPr>
            <w:r>
              <w:rPr>
                <w:rFonts w:ascii="標楷體" w:eastAsia="標楷體" w:hAnsi="標楷體" w:hint="eastAsia"/>
                <w:sz w:val="28"/>
                <w:szCs w:val="28"/>
                <w:u w:val="single"/>
              </w:rPr>
              <w:t>本條新增。</w:t>
            </w:r>
          </w:p>
          <w:p w:rsidR="00844335" w:rsidRDefault="00844335" w:rsidP="00C029E6">
            <w:pPr>
              <w:pStyle w:val="a3"/>
              <w:numPr>
                <w:ilvl w:val="0"/>
                <w:numId w:val="1"/>
              </w:numPr>
              <w:spacing w:line="500" w:lineRule="exact"/>
              <w:ind w:leftChars="0" w:left="624" w:hanging="624"/>
              <w:jc w:val="both"/>
              <w:rPr>
                <w:rFonts w:ascii="標楷體" w:eastAsia="標楷體" w:hAnsi="標楷體"/>
                <w:sz w:val="28"/>
                <w:szCs w:val="28"/>
              </w:rPr>
            </w:pPr>
            <w:r>
              <w:rPr>
                <w:rFonts w:ascii="標楷體" w:eastAsia="標楷體" w:hAnsi="標楷體" w:hint="eastAsia"/>
                <w:sz w:val="28"/>
                <w:szCs w:val="28"/>
              </w:rPr>
              <w:t>要求本市轄內加工出口區、科學園區或工業區之開發單位於一定條件下應訂定空氣品質監測設施設置計畫，以確認區內公私場所生產時確實執行空氣污染防制措施，俾維護空氣品質。</w:t>
            </w:r>
          </w:p>
          <w:p w:rsidR="00844335" w:rsidRDefault="00844335" w:rsidP="00C029E6">
            <w:pPr>
              <w:pStyle w:val="a3"/>
              <w:numPr>
                <w:ilvl w:val="0"/>
                <w:numId w:val="1"/>
              </w:numPr>
              <w:spacing w:line="500" w:lineRule="exact"/>
              <w:ind w:leftChars="0" w:left="624" w:hanging="624"/>
              <w:jc w:val="both"/>
              <w:rPr>
                <w:rFonts w:ascii="標楷體" w:eastAsia="標楷體" w:hAnsi="標楷體"/>
                <w:sz w:val="28"/>
                <w:szCs w:val="28"/>
              </w:rPr>
            </w:pPr>
            <w:r>
              <w:rPr>
                <w:rFonts w:ascii="標楷體" w:eastAsia="標楷體" w:hAnsi="標楷體" w:hint="eastAsia"/>
                <w:sz w:val="28"/>
                <w:szCs w:val="28"/>
              </w:rPr>
              <w:t>所設定之條件及空氣品質監測設施設置計畫之內容等事項，由主管機關公告。</w:t>
            </w:r>
          </w:p>
        </w:tc>
      </w:tr>
      <w:tr w:rsidR="00844335" w:rsidTr="00844335">
        <w:trPr>
          <w:trHeight w:val="3122"/>
        </w:trPr>
        <w:tc>
          <w:tcPr>
            <w:tcW w:w="3369" w:type="dxa"/>
            <w:tcBorders>
              <w:top w:val="single" w:sz="4" w:space="0" w:color="auto"/>
              <w:left w:val="single" w:sz="4" w:space="0" w:color="auto"/>
              <w:bottom w:val="single" w:sz="4" w:space="0" w:color="auto"/>
              <w:right w:val="single" w:sz="4" w:space="0" w:color="auto"/>
            </w:tcBorders>
            <w:hideMark/>
          </w:tcPr>
          <w:p w:rsidR="00844335" w:rsidRDefault="00844335">
            <w:pPr>
              <w:spacing w:line="500" w:lineRule="exact"/>
              <w:rPr>
                <w:rFonts w:ascii="標楷體" w:eastAsia="標楷體" w:hAnsi="標楷體"/>
                <w:sz w:val="28"/>
                <w:szCs w:val="28"/>
              </w:rPr>
            </w:pPr>
            <w:r>
              <w:rPr>
                <w:rFonts w:ascii="標楷體" w:eastAsia="標楷體" w:hAnsi="標楷體" w:hint="eastAsia"/>
                <w:sz w:val="28"/>
                <w:szCs w:val="28"/>
              </w:rPr>
              <w:lastRenderedPageBreak/>
              <w:t>第二十三條之一</w:t>
            </w:r>
          </w:p>
          <w:p w:rsidR="00844335" w:rsidRDefault="00844335">
            <w:pPr>
              <w:spacing w:line="500" w:lineRule="exact"/>
              <w:jc w:val="both"/>
              <w:rPr>
                <w:rFonts w:ascii="標楷體" w:eastAsia="標楷體" w:hAnsi="標楷體"/>
                <w:sz w:val="28"/>
                <w:szCs w:val="28"/>
              </w:rPr>
            </w:pPr>
            <w:r>
              <w:rPr>
                <w:rFonts w:ascii="標楷體" w:eastAsia="標楷體" w:hAnsi="標楷體" w:hint="eastAsia"/>
                <w:sz w:val="28"/>
                <w:szCs w:val="28"/>
              </w:rPr>
              <w:t>加工出口區、科學園區或工業區之開發單位違反第十四條之一第一項規定，未訂定空氣品質監測設施設置計畫或未依主管機關核定內容執行者，處新臺幣二萬元罰鍰，並限期改善；屆期未完成改善者，得按次處罰。</w:t>
            </w:r>
          </w:p>
        </w:tc>
        <w:tc>
          <w:tcPr>
            <w:tcW w:w="2205" w:type="dxa"/>
            <w:tcBorders>
              <w:top w:val="single" w:sz="4" w:space="0" w:color="auto"/>
              <w:left w:val="single" w:sz="4" w:space="0" w:color="auto"/>
              <w:bottom w:val="single" w:sz="4" w:space="0" w:color="auto"/>
              <w:right w:val="single" w:sz="4" w:space="0" w:color="auto"/>
            </w:tcBorders>
          </w:tcPr>
          <w:p w:rsidR="00844335" w:rsidRDefault="00844335">
            <w:pPr>
              <w:spacing w:line="500" w:lineRule="exact"/>
              <w:rPr>
                <w:rFonts w:ascii="標楷體" w:eastAsia="標楷體" w:hAnsi="標楷體"/>
                <w:sz w:val="28"/>
                <w:szCs w:val="28"/>
              </w:rPr>
            </w:pPr>
          </w:p>
        </w:tc>
        <w:tc>
          <w:tcPr>
            <w:tcW w:w="2788" w:type="dxa"/>
            <w:tcBorders>
              <w:top w:val="single" w:sz="4" w:space="0" w:color="auto"/>
              <w:left w:val="single" w:sz="4" w:space="0" w:color="auto"/>
              <w:bottom w:val="single" w:sz="4" w:space="0" w:color="auto"/>
              <w:right w:val="single" w:sz="4" w:space="0" w:color="auto"/>
            </w:tcBorders>
            <w:hideMark/>
          </w:tcPr>
          <w:p w:rsidR="00844335" w:rsidRDefault="00844335" w:rsidP="00C029E6">
            <w:pPr>
              <w:pStyle w:val="a3"/>
              <w:numPr>
                <w:ilvl w:val="0"/>
                <w:numId w:val="2"/>
              </w:numPr>
              <w:spacing w:line="500" w:lineRule="exact"/>
              <w:ind w:leftChars="0"/>
              <w:jc w:val="both"/>
              <w:rPr>
                <w:rFonts w:ascii="標楷體" w:eastAsia="標楷體" w:hAnsi="標楷體"/>
                <w:sz w:val="28"/>
                <w:szCs w:val="28"/>
                <w:u w:val="single"/>
              </w:rPr>
            </w:pPr>
            <w:r>
              <w:rPr>
                <w:rFonts w:ascii="標楷體" w:eastAsia="標楷體" w:hAnsi="標楷體" w:hint="eastAsia"/>
                <w:sz w:val="28"/>
                <w:szCs w:val="28"/>
                <w:u w:val="single"/>
              </w:rPr>
              <w:t>本條新增。</w:t>
            </w:r>
          </w:p>
          <w:p w:rsidR="00844335" w:rsidRDefault="00844335" w:rsidP="00C029E6">
            <w:pPr>
              <w:pStyle w:val="a3"/>
              <w:numPr>
                <w:ilvl w:val="0"/>
                <w:numId w:val="2"/>
              </w:numPr>
              <w:spacing w:line="500" w:lineRule="exact"/>
              <w:ind w:leftChars="0" w:left="624" w:hanging="624"/>
              <w:jc w:val="both"/>
              <w:rPr>
                <w:rFonts w:ascii="標楷體" w:eastAsia="標楷體" w:hAnsi="標楷體"/>
                <w:sz w:val="28"/>
                <w:szCs w:val="28"/>
              </w:rPr>
            </w:pPr>
            <w:r>
              <w:rPr>
                <w:rFonts w:ascii="標楷體" w:eastAsia="標楷體" w:hAnsi="標楷體" w:hint="eastAsia"/>
                <w:sz w:val="28"/>
                <w:szCs w:val="28"/>
              </w:rPr>
              <w:t>明定違反第十四條之一規定罰則。</w:t>
            </w:r>
          </w:p>
        </w:tc>
      </w:tr>
    </w:tbl>
    <w:p w:rsidR="00863FAB" w:rsidRPr="00844335" w:rsidRDefault="00863FAB"/>
    <w:sectPr w:rsidR="00863FAB" w:rsidRPr="0084433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auto"/>
    <w:pitch w:val="variable"/>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171B4"/>
    <w:multiLevelType w:val="hybridMultilevel"/>
    <w:tmpl w:val="D5581B64"/>
    <w:lvl w:ilvl="0" w:tplc="BD6EBBFA">
      <w:start w:val="1"/>
      <w:numFmt w:val="taiwaneseCountingThousand"/>
      <w:suff w:val="space"/>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51C24EDF"/>
    <w:multiLevelType w:val="hybridMultilevel"/>
    <w:tmpl w:val="C732510A"/>
    <w:lvl w:ilvl="0" w:tplc="C630A54C">
      <w:start w:val="1"/>
      <w:numFmt w:val="taiwaneseCountingThousand"/>
      <w:suff w:val="space"/>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35"/>
    <w:rsid w:val="00244DB2"/>
    <w:rsid w:val="00844335"/>
    <w:rsid w:val="00863F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9F71"/>
  <w15:chartTrackingRefBased/>
  <w15:docId w15:val="{E4E3FB05-C6AC-4F20-AD71-BA962A7E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3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335"/>
    <w:pPr>
      <w:ind w:leftChars="200" w:left="480"/>
    </w:pPr>
  </w:style>
  <w:style w:type="table" w:styleId="a4">
    <w:name w:val="Table Grid"/>
    <w:basedOn w:val="a1"/>
    <w:uiPriority w:val="59"/>
    <w:rsid w:val="0084433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宇佑</cp:lastModifiedBy>
  <cp:revision>2</cp:revision>
  <dcterms:created xsi:type="dcterms:W3CDTF">2020-05-25T00:50:00Z</dcterms:created>
  <dcterms:modified xsi:type="dcterms:W3CDTF">2020-06-17T06:52:00Z</dcterms:modified>
</cp:coreProperties>
</file>